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BE" w:rsidRPr="00A524BE" w:rsidRDefault="0085771A" w:rsidP="003030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Mar 31</w:t>
      </w:r>
      <w:r w:rsidR="00C93FE2">
        <w:rPr>
          <w:rFonts w:ascii="Arial" w:hAnsi="Arial" w:cs="Arial"/>
        </w:rPr>
        <w:t>, 2014</w:t>
      </w:r>
    </w:p>
    <w:p w:rsidR="00A524BE" w:rsidRDefault="00A524BE" w:rsidP="00303089">
      <w:pPr>
        <w:spacing w:after="0" w:line="240" w:lineRule="auto"/>
        <w:jc w:val="center"/>
        <w:rPr>
          <w:rFonts w:ascii="Arial" w:hAnsi="Arial" w:cs="Arial"/>
        </w:rPr>
      </w:pPr>
      <w:r w:rsidRPr="00A524BE">
        <w:rPr>
          <w:rFonts w:ascii="Arial" w:hAnsi="Arial" w:cs="Arial"/>
        </w:rPr>
        <w:t>Title V Fee Committee Meeting</w:t>
      </w:r>
    </w:p>
    <w:p w:rsidR="00303089" w:rsidRPr="00D93876" w:rsidRDefault="00303089" w:rsidP="003030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24BE" w:rsidRDefault="00C81F3E" w:rsidP="00303089">
      <w:pPr>
        <w:spacing w:after="0" w:line="240" w:lineRule="auto"/>
        <w:jc w:val="center"/>
        <w:rPr>
          <w:rFonts w:ascii="Arial" w:hAnsi="Arial" w:cs="Arial"/>
        </w:rPr>
      </w:pPr>
      <w:r w:rsidRPr="005946F7">
        <w:rPr>
          <w:rFonts w:ascii="Arial" w:hAnsi="Arial" w:cs="Arial"/>
        </w:rPr>
        <w:t>Summary</w:t>
      </w:r>
    </w:p>
    <w:p w:rsidR="00303089" w:rsidRPr="00D93876" w:rsidRDefault="00303089" w:rsidP="003030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7343A" w:rsidRDefault="007906F4" w:rsidP="00303089">
      <w:pPr>
        <w:spacing w:after="0" w:line="240" w:lineRule="auto"/>
        <w:rPr>
          <w:rFonts w:ascii="Arial" w:hAnsi="Arial" w:cs="Arial"/>
        </w:rPr>
      </w:pPr>
      <w:r w:rsidRPr="003569AA">
        <w:rPr>
          <w:rFonts w:ascii="Arial" w:hAnsi="Arial" w:cs="Arial"/>
          <w:b/>
          <w:sz w:val="24"/>
          <w:szCs w:val="24"/>
        </w:rPr>
        <w:t>Date/Time/Location:</w:t>
      </w:r>
      <w:r w:rsidRPr="005946F7">
        <w:rPr>
          <w:rFonts w:ascii="Arial" w:hAnsi="Arial" w:cs="Arial"/>
        </w:rPr>
        <w:t xml:space="preserve">  </w:t>
      </w:r>
      <w:r w:rsidR="00A524BE" w:rsidRPr="005946F7">
        <w:rPr>
          <w:rFonts w:ascii="Arial" w:hAnsi="Arial" w:cs="Arial"/>
        </w:rPr>
        <w:t xml:space="preserve">The Title V Fee Committee met at the </w:t>
      </w:r>
      <w:r w:rsidR="0085771A">
        <w:rPr>
          <w:rFonts w:ascii="Arial" w:hAnsi="Arial" w:cs="Arial"/>
        </w:rPr>
        <w:t xml:space="preserve">DNREC, Lukens Drive Office,    Mar 31, </w:t>
      </w:r>
      <w:r w:rsidR="00C93FE2">
        <w:rPr>
          <w:rFonts w:ascii="Arial" w:hAnsi="Arial" w:cs="Arial"/>
        </w:rPr>
        <w:t xml:space="preserve">2014, </w:t>
      </w:r>
      <w:r w:rsidR="00A524BE" w:rsidRPr="005946F7">
        <w:rPr>
          <w:rFonts w:ascii="Arial" w:hAnsi="Arial" w:cs="Arial"/>
        </w:rPr>
        <w:t>1:00 -</w:t>
      </w:r>
      <w:r w:rsidR="00D66D6F" w:rsidRPr="005946F7">
        <w:rPr>
          <w:rFonts w:ascii="Arial" w:hAnsi="Arial" w:cs="Arial"/>
        </w:rPr>
        <w:t xml:space="preserve"> </w:t>
      </w:r>
      <w:r w:rsidR="00A524BE" w:rsidRPr="005946F7">
        <w:rPr>
          <w:rFonts w:ascii="Arial" w:hAnsi="Arial" w:cs="Arial"/>
        </w:rPr>
        <w:t>3:00 PM.</w:t>
      </w:r>
    </w:p>
    <w:p w:rsidR="002641B7" w:rsidRPr="00D93876" w:rsidRDefault="002641B7" w:rsidP="0030308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41B7" w:rsidRDefault="002641B7" w:rsidP="00303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89E">
        <w:rPr>
          <w:rFonts w:ascii="Arial" w:hAnsi="Arial" w:cs="Arial"/>
          <w:b/>
          <w:sz w:val="24"/>
          <w:szCs w:val="24"/>
        </w:rPr>
        <w:t xml:space="preserve">Attendees: </w:t>
      </w:r>
    </w:p>
    <w:tbl>
      <w:tblPr>
        <w:tblStyle w:val="TableGrid"/>
        <w:tblpPr w:leftFromText="180" w:rightFromText="180" w:vertAnchor="text" w:horzAnchor="margin" w:tblpY="64"/>
        <w:tblW w:w="9288" w:type="dxa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530"/>
        <w:gridCol w:w="1170"/>
        <w:gridCol w:w="2250"/>
        <w:gridCol w:w="1440"/>
      </w:tblGrid>
      <w:tr w:rsidR="00D93876" w:rsidTr="00D93876"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876" w:rsidRPr="0039647C" w:rsidRDefault="00D93876" w:rsidP="00D93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47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876" w:rsidRPr="0039647C" w:rsidRDefault="00D93876" w:rsidP="00D93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47C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876" w:rsidRPr="0039647C" w:rsidRDefault="00D93876" w:rsidP="00D93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47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876" w:rsidRPr="0039647C" w:rsidRDefault="00D93876" w:rsidP="00D93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47C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876" w:rsidRPr="0039647C" w:rsidRDefault="00D93876" w:rsidP="00D93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47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876" w:rsidRPr="0039647C" w:rsidRDefault="00D93876" w:rsidP="00D93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47C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</w:tr>
      <w:tr w:rsidR="00D93876" w:rsidTr="00D93876">
        <w:tc>
          <w:tcPr>
            <w:tcW w:w="16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 w:rsidRPr="0057689E">
              <w:rPr>
                <w:rFonts w:ascii="Arial" w:hAnsi="Arial" w:cs="Arial"/>
                <w:sz w:val="20"/>
                <w:szCs w:val="20"/>
              </w:rPr>
              <w:t xml:space="preserve">Ali </w:t>
            </w:r>
            <w:proofErr w:type="spellStart"/>
            <w:r w:rsidRPr="0057689E">
              <w:rPr>
                <w:rFonts w:ascii="Arial" w:hAnsi="Arial" w:cs="Arial"/>
                <w:sz w:val="20"/>
                <w:szCs w:val="20"/>
              </w:rPr>
              <w:t>Mirzakhalil</w:t>
            </w:r>
            <w:r>
              <w:rPr>
                <w:rFonts w:ascii="Arial" w:hAnsi="Arial" w:cs="Arial"/>
                <w:sz w:val="20"/>
                <w:szCs w:val="20"/>
              </w:rPr>
              <w:t>li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 w:rsidRPr="0057689E">
              <w:rPr>
                <w:rFonts w:ascii="Arial" w:hAnsi="Arial" w:cs="Arial"/>
                <w:sz w:val="20"/>
                <w:szCs w:val="20"/>
              </w:rPr>
              <w:t>DAQ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Heffron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DSCC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Widom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Calpine</w:t>
            </w:r>
          </w:p>
        </w:tc>
      </w:tr>
      <w:tr w:rsidR="00D93876" w:rsidTr="00D93876"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Small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DNREC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Webster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DuPont</w:t>
            </w: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Deemer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DCRC</w:t>
            </w:r>
          </w:p>
        </w:tc>
      </w:tr>
      <w:tr w:rsidR="00D93876" w:rsidTr="00D93876"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Foster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 w:rsidRPr="0057689E">
              <w:rPr>
                <w:rFonts w:ascii="Arial" w:hAnsi="Arial" w:cs="Arial"/>
                <w:sz w:val="20"/>
                <w:szCs w:val="20"/>
              </w:rPr>
              <w:t>DAQ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Bacher</w:t>
            </w:r>
            <w:proofErr w:type="spellEnd"/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NRG</w:t>
            </w: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Marconi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DSWA</w:t>
            </w:r>
          </w:p>
        </w:tc>
      </w:tr>
      <w:tr w:rsidR="00D93876" w:rsidTr="00D93876"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Mann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 w:rsidRPr="0057689E">
              <w:rPr>
                <w:rFonts w:ascii="Arial" w:hAnsi="Arial" w:cs="Arial"/>
                <w:sz w:val="20"/>
                <w:szCs w:val="20"/>
              </w:rPr>
              <w:t>DAQ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Wilson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NRG</w:t>
            </w: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D93876" w:rsidRPr="0039647C" w:rsidRDefault="00D93876" w:rsidP="00D938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47C">
              <w:rPr>
                <w:rFonts w:ascii="Arial" w:hAnsi="Arial" w:cs="Arial"/>
                <w:sz w:val="18"/>
                <w:szCs w:val="18"/>
              </w:rPr>
              <w:t>Bernadene</w:t>
            </w:r>
            <w:proofErr w:type="spellEnd"/>
            <w:r w:rsidRPr="00396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47C">
              <w:rPr>
                <w:rFonts w:ascii="Arial" w:hAnsi="Arial" w:cs="Arial"/>
                <w:sz w:val="18"/>
                <w:szCs w:val="18"/>
              </w:rPr>
              <w:t>Wasserleben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</w:tr>
      <w:tr w:rsidR="00D93876" w:rsidTr="00D93876">
        <w:tc>
          <w:tcPr>
            <w:tcW w:w="16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Martini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DAQ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Gifford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Audubon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876" w:rsidTr="00D93876"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Manson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DAQ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Walsh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876" w:rsidRPr="0057689E" w:rsidRDefault="00D93876" w:rsidP="00D93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089" w:rsidRPr="00303089" w:rsidRDefault="00303089" w:rsidP="003030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771A" w:rsidRDefault="007906F4" w:rsidP="00303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9AA">
        <w:rPr>
          <w:rFonts w:ascii="Arial" w:hAnsi="Arial" w:cs="Arial"/>
          <w:b/>
          <w:sz w:val="24"/>
          <w:szCs w:val="24"/>
        </w:rPr>
        <w:t>Purpose:</w:t>
      </w:r>
      <w:r w:rsidR="00A524BE" w:rsidRPr="003569AA">
        <w:rPr>
          <w:rFonts w:ascii="Arial" w:hAnsi="Arial" w:cs="Arial"/>
          <w:sz w:val="24"/>
          <w:szCs w:val="24"/>
        </w:rPr>
        <w:t xml:space="preserve">  </w:t>
      </w:r>
    </w:p>
    <w:p w:rsidR="00303089" w:rsidRPr="00303089" w:rsidRDefault="00303089" w:rsidP="00303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FBC" w:rsidRPr="00BA6E14" w:rsidRDefault="00087FBC" w:rsidP="0030308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A6E14">
        <w:rPr>
          <w:rFonts w:ascii="Arial" w:hAnsi="Arial" w:cs="Arial"/>
        </w:rPr>
        <w:t xml:space="preserve">DAQ provided </w:t>
      </w:r>
      <w:r w:rsidR="007D315A">
        <w:rPr>
          <w:rFonts w:ascii="Arial" w:hAnsi="Arial" w:cs="Arial"/>
        </w:rPr>
        <w:t xml:space="preserve">a </w:t>
      </w:r>
      <w:r w:rsidRPr="00BA6E14">
        <w:rPr>
          <w:rFonts w:ascii="Arial" w:hAnsi="Arial" w:cs="Arial"/>
        </w:rPr>
        <w:t>strategic planning</w:t>
      </w:r>
      <w:r w:rsidR="00B363D5" w:rsidRPr="00BA6E14">
        <w:rPr>
          <w:rFonts w:ascii="Arial" w:hAnsi="Arial" w:cs="Arial"/>
        </w:rPr>
        <w:t xml:space="preserve"> and process improvement </w:t>
      </w:r>
      <w:r w:rsidRPr="00BA6E14">
        <w:rPr>
          <w:rFonts w:ascii="Arial" w:hAnsi="Arial" w:cs="Arial"/>
        </w:rPr>
        <w:t>briefing.</w:t>
      </w:r>
    </w:p>
    <w:p w:rsidR="00A524BE" w:rsidRDefault="001C0CBD" w:rsidP="0030308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5771A">
        <w:rPr>
          <w:rFonts w:ascii="Arial" w:hAnsi="Arial" w:cs="Arial"/>
        </w:rPr>
        <w:t>I</w:t>
      </w:r>
      <w:r w:rsidR="00A524BE" w:rsidRPr="0085771A">
        <w:rPr>
          <w:rFonts w:ascii="Arial" w:hAnsi="Arial" w:cs="Arial"/>
        </w:rPr>
        <w:t>ndustry m</w:t>
      </w:r>
      <w:r w:rsidRPr="0085771A">
        <w:rPr>
          <w:rFonts w:ascii="Arial" w:hAnsi="Arial" w:cs="Arial"/>
        </w:rPr>
        <w:t>embers of the Fee Committee</w:t>
      </w:r>
      <w:r w:rsidR="001901F5" w:rsidRPr="0085771A">
        <w:rPr>
          <w:rFonts w:ascii="Arial" w:hAnsi="Arial" w:cs="Arial"/>
        </w:rPr>
        <w:t>,</w:t>
      </w:r>
      <w:r w:rsidRPr="0085771A">
        <w:rPr>
          <w:rFonts w:ascii="Arial" w:hAnsi="Arial" w:cs="Arial"/>
        </w:rPr>
        <w:t xml:space="preserve"> led </w:t>
      </w:r>
      <w:r w:rsidR="00A524BE" w:rsidRPr="0085771A">
        <w:rPr>
          <w:rFonts w:ascii="Arial" w:hAnsi="Arial" w:cs="Arial"/>
        </w:rPr>
        <w:t>by Tom Webster (DuPont)</w:t>
      </w:r>
      <w:r w:rsidR="001901F5" w:rsidRPr="0085771A">
        <w:rPr>
          <w:rFonts w:ascii="Arial" w:hAnsi="Arial" w:cs="Arial"/>
        </w:rPr>
        <w:t>,</w:t>
      </w:r>
      <w:r w:rsidR="0085771A" w:rsidRPr="0085771A">
        <w:rPr>
          <w:rFonts w:ascii="Arial" w:hAnsi="Arial" w:cs="Arial"/>
        </w:rPr>
        <w:t xml:space="preserve"> presented </w:t>
      </w:r>
      <w:r w:rsidR="00A524BE" w:rsidRPr="0085771A">
        <w:rPr>
          <w:rFonts w:ascii="Arial" w:hAnsi="Arial" w:cs="Arial"/>
        </w:rPr>
        <w:t>their</w:t>
      </w:r>
      <w:r w:rsidR="0085771A" w:rsidRPr="0085771A">
        <w:rPr>
          <w:rFonts w:ascii="Arial" w:hAnsi="Arial" w:cs="Arial"/>
        </w:rPr>
        <w:t xml:space="preserve"> second </w:t>
      </w:r>
      <w:r w:rsidR="008516F5">
        <w:rPr>
          <w:rFonts w:ascii="Arial" w:hAnsi="Arial" w:cs="Arial"/>
          <w:u w:val="single"/>
        </w:rPr>
        <w:t xml:space="preserve">revision </w:t>
      </w:r>
      <w:r w:rsidR="008516F5" w:rsidRPr="008516F5">
        <w:rPr>
          <w:rFonts w:ascii="Arial" w:hAnsi="Arial" w:cs="Arial"/>
        </w:rPr>
        <w:t>to</w:t>
      </w:r>
      <w:r w:rsidR="00C93FE2" w:rsidRPr="008516F5">
        <w:rPr>
          <w:rFonts w:ascii="Arial" w:hAnsi="Arial" w:cs="Arial"/>
        </w:rPr>
        <w:t xml:space="preserve"> </w:t>
      </w:r>
      <w:r w:rsidR="008516F5">
        <w:rPr>
          <w:rFonts w:ascii="Arial" w:hAnsi="Arial" w:cs="Arial"/>
        </w:rPr>
        <w:t xml:space="preserve">the </w:t>
      </w:r>
      <w:r w:rsidR="00A524BE" w:rsidRPr="0085771A">
        <w:rPr>
          <w:rFonts w:ascii="Arial" w:hAnsi="Arial" w:cs="Arial"/>
        </w:rPr>
        <w:t>unified fee proposal for the 2015-2017 Title V billing cycle.</w:t>
      </w:r>
    </w:p>
    <w:p w:rsidR="006567D6" w:rsidRDefault="006567D6" w:rsidP="0030308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DAQ provide Reg 2. Fee </w:t>
      </w:r>
      <w:r w:rsidR="002641B7">
        <w:rPr>
          <w:rFonts w:ascii="Arial" w:hAnsi="Arial" w:cs="Arial"/>
        </w:rPr>
        <w:t xml:space="preserve">concept </w:t>
      </w:r>
      <w:r>
        <w:rPr>
          <w:rFonts w:ascii="Arial" w:hAnsi="Arial" w:cs="Arial"/>
        </w:rPr>
        <w:t>summary</w:t>
      </w:r>
      <w:r w:rsidR="00D67DF0">
        <w:rPr>
          <w:rFonts w:ascii="Arial" w:hAnsi="Arial" w:cs="Arial"/>
        </w:rPr>
        <w:t>.</w:t>
      </w:r>
    </w:p>
    <w:p w:rsidR="00303089" w:rsidRPr="006567D6" w:rsidRDefault="00303089" w:rsidP="003030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87FBC" w:rsidRDefault="00087FBC" w:rsidP="00303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9AA">
        <w:rPr>
          <w:rFonts w:ascii="Arial" w:hAnsi="Arial" w:cs="Arial"/>
          <w:b/>
          <w:sz w:val="24"/>
          <w:szCs w:val="24"/>
        </w:rPr>
        <w:t>Discussion:</w:t>
      </w:r>
    </w:p>
    <w:p w:rsidR="00303089" w:rsidRPr="00303089" w:rsidRDefault="00303089" w:rsidP="003030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3D5" w:rsidRDefault="003569AA" w:rsidP="00BA6E1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569AA">
        <w:rPr>
          <w:rFonts w:ascii="Arial" w:hAnsi="Arial" w:cs="Arial"/>
          <w:b/>
        </w:rPr>
        <w:t>Strategy Briefing:</w:t>
      </w:r>
      <w:r>
        <w:rPr>
          <w:rFonts w:ascii="Arial" w:hAnsi="Arial" w:cs="Arial"/>
        </w:rPr>
        <w:t xml:space="preserve"> </w:t>
      </w:r>
      <w:r w:rsidR="00B363D5" w:rsidRPr="00BA6E14">
        <w:rPr>
          <w:rFonts w:ascii="Arial" w:hAnsi="Arial" w:cs="Arial"/>
        </w:rPr>
        <w:t>Ali</w:t>
      </w:r>
      <w:r w:rsidR="00BA6E14" w:rsidRPr="00BA6E14">
        <w:rPr>
          <w:rFonts w:ascii="Arial" w:hAnsi="Arial" w:cs="Arial"/>
        </w:rPr>
        <w:t xml:space="preserve"> presented an overview </w:t>
      </w:r>
      <w:r w:rsidR="00B363D5" w:rsidRPr="00BA6E14">
        <w:rPr>
          <w:rFonts w:ascii="Arial" w:hAnsi="Arial" w:cs="Arial"/>
        </w:rPr>
        <w:t>of the Division</w:t>
      </w:r>
      <w:r w:rsidR="00BA6E14">
        <w:rPr>
          <w:rFonts w:ascii="Arial" w:hAnsi="Arial" w:cs="Arial"/>
        </w:rPr>
        <w:t>’</w:t>
      </w:r>
      <w:r w:rsidR="00B363D5" w:rsidRPr="00BA6E1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current </w:t>
      </w:r>
      <w:r w:rsidR="00B363D5" w:rsidRPr="00BA6E14">
        <w:rPr>
          <w:rFonts w:ascii="Arial" w:hAnsi="Arial" w:cs="Arial"/>
        </w:rPr>
        <w:t>strategic planning efforts and specific action plans</w:t>
      </w:r>
      <w:r w:rsidR="00BA6E14" w:rsidRPr="00BA6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being implemented </w:t>
      </w:r>
      <w:r w:rsidR="00BA6E14" w:rsidRPr="00BA6E14">
        <w:rPr>
          <w:rFonts w:ascii="Arial" w:hAnsi="Arial" w:cs="Arial"/>
        </w:rPr>
        <w:t>to improve</w:t>
      </w:r>
      <w:r w:rsidR="00B363D5" w:rsidRPr="00BA6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internal </w:t>
      </w:r>
      <w:r w:rsidR="00B363D5" w:rsidRPr="00BA6E14">
        <w:rPr>
          <w:rFonts w:ascii="Arial" w:hAnsi="Arial" w:cs="Arial"/>
        </w:rPr>
        <w:t xml:space="preserve">processes, </w:t>
      </w:r>
      <w:r w:rsidR="00BA6E14" w:rsidRPr="00BA6E14">
        <w:rPr>
          <w:rFonts w:ascii="Arial" w:hAnsi="Arial" w:cs="Arial"/>
        </w:rPr>
        <w:t>support customers</w:t>
      </w:r>
      <w:r w:rsidR="00BA6E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A6E14" w:rsidRPr="00BA6E14">
        <w:rPr>
          <w:rFonts w:ascii="Arial" w:hAnsi="Arial" w:cs="Arial"/>
        </w:rPr>
        <w:t>mana</w:t>
      </w:r>
      <w:r>
        <w:rPr>
          <w:rFonts w:ascii="Arial" w:hAnsi="Arial" w:cs="Arial"/>
        </w:rPr>
        <w:t>ge resources</w:t>
      </w:r>
      <w:r w:rsidR="00D642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  <w:r w:rsidRPr="00356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develop people.</w:t>
      </w:r>
    </w:p>
    <w:p w:rsidR="00BA6E14" w:rsidRPr="00303089" w:rsidRDefault="00BA6E14" w:rsidP="00BA6E1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A6E14" w:rsidRPr="00BA6E14" w:rsidRDefault="00BA6E14" w:rsidP="00BA6E1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Ali highlighted the Project Management Tool (PMT) that was developed by the staff to manage the multiple project</w:t>
      </w:r>
      <w:r w:rsidR="003569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created from the strategy.</w:t>
      </w:r>
      <w:r w:rsidRPr="00BA6E14">
        <w:rPr>
          <w:rFonts w:ascii="Arial" w:hAnsi="Arial" w:cs="Arial"/>
        </w:rPr>
        <w:t xml:space="preserve"> </w:t>
      </w:r>
    </w:p>
    <w:p w:rsidR="00BA6E14" w:rsidRDefault="00BA6E14" w:rsidP="00BA6E1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Based on the committee</w:t>
      </w:r>
      <w:r w:rsidR="00817693">
        <w:rPr>
          <w:rFonts w:ascii="Arial" w:hAnsi="Arial" w:cs="Arial"/>
        </w:rPr>
        <w:t>’</w:t>
      </w:r>
      <w:r>
        <w:rPr>
          <w:rFonts w:ascii="Arial" w:hAnsi="Arial" w:cs="Arial"/>
        </w:rPr>
        <w:t>s questions Ali clarified the following:</w:t>
      </w:r>
    </w:p>
    <w:p w:rsidR="00BA6E14" w:rsidRDefault="00BA6E14" w:rsidP="00BA6E1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PMT is a standard template used to manage all projects</w:t>
      </w:r>
    </w:p>
    <w:p w:rsidR="00BA6E14" w:rsidRDefault="00BA6E14" w:rsidP="00BA6E1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These</w:t>
      </w:r>
      <w:r w:rsidR="002140F7">
        <w:rPr>
          <w:rFonts w:ascii="Arial" w:hAnsi="Arial" w:cs="Arial"/>
        </w:rPr>
        <w:t xml:space="preserve"> management</w:t>
      </w:r>
      <w:r>
        <w:rPr>
          <w:rFonts w:ascii="Arial" w:hAnsi="Arial" w:cs="Arial"/>
        </w:rPr>
        <w:t xml:space="preserve"> tools were developed by the DAQ staff</w:t>
      </w:r>
      <w:r w:rsidR="002140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DAQ staff.</w:t>
      </w:r>
      <w:r w:rsidR="002140F7">
        <w:rPr>
          <w:rFonts w:ascii="Arial" w:hAnsi="Arial" w:cs="Arial"/>
        </w:rPr>
        <w:t xml:space="preserve">  Current plans and tools are not </w:t>
      </w:r>
      <w:r w:rsidR="00D642AF">
        <w:rPr>
          <w:rFonts w:ascii="Arial" w:hAnsi="Arial" w:cs="Arial"/>
        </w:rPr>
        <w:t xml:space="preserve">utilized </w:t>
      </w:r>
      <w:r w:rsidR="002140F7">
        <w:rPr>
          <w:rFonts w:ascii="Arial" w:hAnsi="Arial" w:cs="Arial"/>
        </w:rPr>
        <w:t>Department wide.</w:t>
      </w:r>
    </w:p>
    <w:p w:rsidR="00BA6E14" w:rsidRDefault="003569AA" w:rsidP="00BA6E1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Hours spent on strategy</w:t>
      </w:r>
      <w:r w:rsidR="00BA6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development </w:t>
      </w:r>
      <w:r w:rsidR="00BA6E14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considered </w:t>
      </w:r>
      <w:r w:rsidR="00BA6E14">
        <w:rPr>
          <w:rFonts w:ascii="Arial" w:hAnsi="Arial" w:cs="Arial"/>
        </w:rPr>
        <w:t>general planning and are not assign</w:t>
      </w:r>
      <w:r>
        <w:rPr>
          <w:rFonts w:ascii="Arial" w:hAnsi="Arial" w:cs="Arial"/>
        </w:rPr>
        <w:t>e</w:t>
      </w:r>
      <w:r w:rsidR="00BA6E14">
        <w:rPr>
          <w:rFonts w:ascii="Arial" w:hAnsi="Arial" w:cs="Arial"/>
        </w:rPr>
        <w:t>d to a</w:t>
      </w:r>
      <w:r>
        <w:rPr>
          <w:rFonts w:ascii="Arial" w:hAnsi="Arial" w:cs="Arial"/>
        </w:rPr>
        <w:t>ny</w:t>
      </w:r>
      <w:r w:rsidR="00BA6E14">
        <w:rPr>
          <w:rFonts w:ascii="Arial" w:hAnsi="Arial" w:cs="Arial"/>
        </w:rPr>
        <w:t xml:space="preserve"> specific facilities</w:t>
      </w:r>
      <w:r w:rsidR="00D642AF">
        <w:rPr>
          <w:rFonts w:ascii="Arial" w:hAnsi="Arial" w:cs="Arial"/>
        </w:rPr>
        <w:t>.</w:t>
      </w:r>
    </w:p>
    <w:p w:rsidR="003569AA" w:rsidRDefault="003569AA" w:rsidP="003569A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Succession planning is </w:t>
      </w:r>
      <w:r w:rsidR="002140F7">
        <w:rPr>
          <w:rFonts w:ascii="Arial" w:hAnsi="Arial" w:cs="Arial"/>
        </w:rPr>
        <w:t xml:space="preserve">one of the </w:t>
      </w:r>
      <w:r>
        <w:rPr>
          <w:rFonts w:ascii="Arial" w:hAnsi="Arial" w:cs="Arial"/>
        </w:rPr>
        <w:t>Division</w:t>
      </w:r>
      <w:r w:rsidR="002140F7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2140F7">
        <w:rPr>
          <w:rFonts w:ascii="Arial" w:hAnsi="Arial" w:cs="Arial"/>
        </w:rPr>
        <w:t>priorities</w:t>
      </w:r>
      <w:r>
        <w:rPr>
          <w:rFonts w:ascii="Arial" w:hAnsi="Arial" w:cs="Arial"/>
        </w:rPr>
        <w:t xml:space="preserve"> and DAQ is pursuing all options to retain </w:t>
      </w:r>
      <w:r w:rsidR="002140F7">
        <w:rPr>
          <w:rFonts w:ascii="Arial" w:hAnsi="Arial" w:cs="Arial"/>
        </w:rPr>
        <w:t xml:space="preserve">and transfer </w:t>
      </w:r>
      <w:r>
        <w:rPr>
          <w:rFonts w:ascii="Arial" w:hAnsi="Arial" w:cs="Arial"/>
        </w:rPr>
        <w:t>critical skills and knowledge.</w:t>
      </w:r>
    </w:p>
    <w:p w:rsidR="003569AA" w:rsidRPr="00303089" w:rsidRDefault="003569AA" w:rsidP="003569A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93FE2" w:rsidRDefault="00517D20" w:rsidP="002140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140F7">
        <w:rPr>
          <w:rFonts w:ascii="Arial" w:hAnsi="Arial" w:cs="Arial"/>
          <w:b/>
        </w:rPr>
        <w:t xml:space="preserve">Chamber </w:t>
      </w:r>
      <w:r w:rsidR="002140F7">
        <w:rPr>
          <w:rFonts w:ascii="Arial" w:hAnsi="Arial" w:cs="Arial"/>
          <w:b/>
        </w:rPr>
        <w:t xml:space="preserve">Proposal: </w:t>
      </w:r>
      <w:r w:rsidR="002140F7" w:rsidRPr="002140F7">
        <w:rPr>
          <w:rFonts w:ascii="Arial" w:hAnsi="Arial" w:cs="Arial"/>
        </w:rPr>
        <w:t>Tom Webster presented the new proposal and thoroughly explained the method of calculation and distribution of fees across the facilities.</w:t>
      </w:r>
    </w:p>
    <w:p w:rsidR="002140F7" w:rsidRPr="00303089" w:rsidRDefault="002140F7" w:rsidP="002140F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93876" w:rsidRDefault="002140F7" w:rsidP="00D93876">
      <w:pPr>
        <w:pStyle w:val="ListParagraph"/>
        <w:ind w:left="360"/>
        <w:rPr>
          <w:rFonts w:ascii="Arial" w:hAnsi="Arial" w:cs="Arial"/>
          <w:b/>
        </w:rPr>
      </w:pPr>
      <w:r w:rsidRPr="002140F7">
        <w:rPr>
          <w:rFonts w:ascii="Arial" w:hAnsi="Arial" w:cs="Arial"/>
          <w:b/>
        </w:rPr>
        <w:t>Key Revisions:</w:t>
      </w:r>
    </w:p>
    <w:p w:rsidR="00D93876" w:rsidRPr="00D93876" w:rsidRDefault="00D93876" w:rsidP="00D93876">
      <w:pPr>
        <w:pStyle w:val="ListParagraph"/>
        <w:ind w:left="360"/>
        <w:rPr>
          <w:rFonts w:ascii="Arial" w:hAnsi="Arial" w:cs="Arial"/>
          <w:b/>
        </w:rPr>
      </w:pPr>
    </w:p>
    <w:p w:rsidR="00D93876" w:rsidRPr="00D93876" w:rsidRDefault="006567D6" w:rsidP="00D9387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93876">
        <w:rPr>
          <w:rFonts w:ascii="Arial" w:hAnsi="Arial" w:cs="Arial"/>
        </w:rPr>
        <w:t>Revised proposal i</w:t>
      </w:r>
      <w:r w:rsidR="008516F5" w:rsidRPr="00D93876">
        <w:rPr>
          <w:rFonts w:ascii="Arial" w:hAnsi="Arial" w:cs="Arial"/>
        </w:rPr>
        <w:t xml:space="preserve">ncludes a </w:t>
      </w:r>
      <w:r w:rsidR="008516F5" w:rsidRPr="00D93876">
        <w:rPr>
          <w:rFonts w:ascii="Arial" w:hAnsi="Arial" w:cs="Arial"/>
          <w:b/>
        </w:rPr>
        <w:t>Base Fee and User Fee adjustments</w:t>
      </w:r>
      <w:r w:rsidR="0024668E" w:rsidRPr="00D93876">
        <w:rPr>
          <w:rFonts w:ascii="Arial" w:hAnsi="Arial" w:cs="Arial"/>
        </w:rPr>
        <w:t xml:space="preserve"> versus </w:t>
      </w:r>
      <w:r w:rsidR="002140F7" w:rsidRPr="00D93876">
        <w:rPr>
          <w:rFonts w:ascii="Arial" w:hAnsi="Arial" w:cs="Arial"/>
        </w:rPr>
        <w:t xml:space="preserve">the </w:t>
      </w:r>
      <w:r w:rsidR="0024668E" w:rsidRPr="00D93876">
        <w:rPr>
          <w:rFonts w:ascii="Arial" w:hAnsi="Arial" w:cs="Arial"/>
        </w:rPr>
        <w:t xml:space="preserve">previous User Fee </w:t>
      </w:r>
      <w:r w:rsidRPr="00D93876">
        <w:rPr>
          <w:rFonts w:ascii="Arial" w:hAnsi="Arial" w:cs="Arial"/>
        </w:rPr>
        <w:t>only recommendation</w:t>
      </w:r>
      <w:r w:rsidR="0024668E" w:rsidRPr="00D93876">
        <w:rPr>
          <w:rFonts w:ascii="Arial" w:hAnsi="Arial" w:cs="Arial"/>
        </w:rPr>
        <w:t>.</w:t>
      </w:r>
    </w:p>
    <w:p w:rsidR="00825FCC" w:rsidRDefault="006567D6" w:rsidP="00C93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825FCC">
        <w:rPr>
          <w:rFonts w:ascii="Arial" w:hAnsi="Arial" w:cs="Arial"/>
        </w:rPr>
        <w:t xml:space="preserve">ecommends a </w:t>
      </w:r>
      <w:r w:rsidR="003D5803">
        <w:rPr>
          <w:rFonts w:ascii="Arial" w:hAnsi="Arial" w:cs="Arial"/>
        </w:rPr>
        <w:t>2</w:t>
      </w:r>
      <w:r w:rsidR="00825FCC">
        <w:rPr>
          <w:rFonts w:ascii="Arial" w:hAnsi="Arial" w:cs="Arial"/>
        </w:rPr>
        <w:t xml:space="preserve">-year fee schedule to align with </w:t>
      </w:r>
      <w:r w:rsidR="002140F7">
        <w:rPr>
          <w:rFonts w:ascii="Arial" w:hAnsi="Arial" w:cs="Arial"/>
        </w:rPr>
        <w:t xml:space="preserve">the </w:t>
      </w:r>
      <w:r w:rsidR="00825FCC" w:rsidRPr="0024668E">
        <w:rPr>
          <w:rFonts w:ascii="Arial" w:hAnsi="Arial" w:cs="Arial"/>
          <w:b/>
          <w:u w:val="single"/>
        </w:rPr>
        <w:t xml:space="preserve">estimated </w:t>
      </w:r>
      <w:r w:rsidR="0024668E">
        <w:rPr>
          <w:rFonts w:ascii="Arial" w:hAnsi="Arial" w:cs="Arial"/>
        </w:rPr>
        <w:t xml:space="preserve">completion of the proposed </w:t>
      </w:r>
      <w:r w:rsidR="00825FCC">
        <w:rPr>
          <w:rFonts w:ascii="Arial" w:hAnsi="Arial" w:cs="Arial"/>
        </w:rPr>
        <w:t xml:space="preserve">management review study report/findings. </w:t>
      </w:r>
    </w:p>
    <w:p w:rsidR="005E158E" w:rsidRDefault="008516F5" w:rsidP="00C93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Revised </w:t>
      </w:r>
      <w:r w:rsidR="00825FCC">
        <w:rPr>
          <w:rFonts w:ascii="Arial" w:hAnsi="Arial" w:cs="Arial"/>
        </w:rPr>
        <w:t>proposal meets the p</w:t>
      </w:r>
      <w:r w:rsidR="00E41F70" w:rsidRPr="003A468B">
        <w:rPr>
          <w:rFonts w:ascii="Arial" w:hAnsi="Arial" w:cs="Arial"/>
        </w:rPr>
        <w:t xml:space="preserve">rojected </w:t>
      </w:r>
      <w:r w:rsidR="005E158E" w:rsidRPr="003A468B">
        <w:rPr>
          <w:rFonts w:ascii="Arial" w:hAnsi="Arial" w:cs="Arial"/>
        </w:rPr>
        <w:t>TV</w:t>
      </w:r>
      <w:r w:rsidR="005E158E">
        <w:rPr>
          <w:rFonts w:ascii="Arial" w:hAnsi="Arial" w:cs="Arial"/>
        </w:rPr>
        <w:t xml:space="preserve"> program cost requirement</w:t>
      </w:r>
      <w:r w:rsidR="00741EF7">
        <w:rPr>
          <w:rFonts w:ascii="Arial" w:hAnsi="Arial" w:cs="Arial"/>
        </w:rPr>
        <w:t>s</w:t>
      </w:r>
      <w:r w:rsidR="002140F7">
        <w:rPr>
          <w:rFonts w:ascii="Arial" w:hAnsi="Arial" w:cs="Arial"/>
        </w:rPr>
        <w:t xml:space="preserve"> of $3,716,811</w:t>
      </w:r>
      <w:r w:rsidR="00825FCC">
        <w:rPr>
          <w:rFonts w:ascii="Arial" w:hAnsi="Arial" w:cs="Arial"/>
        </w:rPr>
        <w:t xml:space="preserve"> </w:t>
      </w:r>
      <w:r w:rsidR="005E158E">
        <w:rPr>
          <w:rFonts w:ascii="Arial" w:hAnsi="Arial" w:cs="Arial"/>
        </w:rPr>
        <w:t>(</w:t>
      </w:r>
      <w:r w:rsidR="002140F7">
        <w:rPr>
          <w:rFonts w:ascii="Arial" w:hAnsi="Arial" w:cs="Arial"/>
        </w:rPr>
        <w:t xml:space="preserve">adjusted </w:t>
      </w:r>
      <w:r w:rsidR="00C702A1">
        <w:rPr>
          <w:rFonts w:ascii="Arial" w:hAnsi="Arial" w:cs="Arial"/>
        </w:rPr>
        <w:t>2</w:t>
      </w:r>
      <w:r w:rsidR="002140F7">
        <w:rPr>
          <w:rFonts w:ascii="Arial" w:hAnsi="Arial" w:cs="Arial"/>
        </w:rPr>
        <w:t>-year average</w:t>
      </w:r>
      <w:r w:rsidR="00825FCC">
        <w:rPr>
          <w:rFonts w:ascii="Arial" w:hAnsi="Arial" w:cs="Arial"/>
        </w:rPr>
        <w:t xml:space="preserve"> </w:t>
      </w:r>
      <w:r w:rsidR="002140F7">
        <w:rPr>
          <w:rFonts w:ascii="Arial" w:hAnsi="Arial" w:cs="Arial"/>
        </w:rPr>
        <w:t>2015-2016</w:t>
      </w:r>
      <w:r w:rsidR="005E158E">
        <w:rPr>
          <w:rFonts w:ascii="Arial" w:hAnsi="Arial" w:cs="Arial"/>
        </w:rPr>
        <w:t>)</w:t>
      </w:r>
      <w:r w:rsidR="00EB0FD7">
        <w:rPr>
          <w:rFonts w:ascii="Arial" w:hAnsi="Arial" w:cs="Arial"/>
        </w:rPr>
        <w:t>.</w:t>
      </w:r>
      <w:r w:rsidR="002140F7">
        <w:rPr>
          <w:rFonts w:ascii="Arial" w:hAnsi="Arial" w:cs="Arial"/>
        </w:rPr>
        <w:t xml:space="preserve">  </w:t>
      </w:r>
    </w:p>
    <w:p w:rsidR="005E158E" w:rsidRDefault="00517D20" w:rsidP="005E15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factors of </w:t>
      </w:r>
      <w:r w:rsidR="00EB0FD7">
        <w:rPr>
          <w:rFonts w:ascii="Arial" w:hAnsi="Arial" w:cs="Arial"/>
        </w:rPr>
        <w:t>63.0 FTEs or 93% s</w:t>
      </w:r>
      <w:r w:rsidR="005E158E">
        <w:rPr>
          <w:rFonts w:ascii="Arial" w:hAnsi="Arial" w:cs="Arial"/>
        </w:rPr>
        <w:t>taffing level</w:t>
      </w:r>
      <w:r>
        <w:rPr>
          <w:rFonts w:ascii="Arial" w:hAnsi="Arial" w:cs="Arial"/>
        </w:rPr>
        <w:t xml:space="preserve"> remain the same</w:t>
      </w:r>
      <w:r w:rsidR="001C0CBD">
        <w:rPr>
          <w:rFonts w:ascii="Arial" w:hAnsi="Arial" w:cs="Arial"/>
        </w:rPr>
        <w:t>.</w:t>
      </w:r>
    </w:p>
    <w:p w:rsidR="00741EF7" w:rsidRPr="00741EF7" w:rsidRDefault="0024668E" w:rsidP="00741EF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Includes</w:t>
      </w:r>
      <w:r w:rsidR="005E158E">
        <w:rPr>
          <w:rFonts w:ascii="Arial" w:hAnsi="Arial" w:cs="Arial"/>
        </w:rPr>
        <w:t xml:space="preserve"> 2.5% annual COLA increase for salaries, additional support services and ombudsman program for the 2015-201</w:t>
      </w:r>
      <w:r w:rsidR="00337881">
        <w:rPr>
          <w:rFonts w:ascii="Arial" w:hAnsi="Arial" w:cs="Arial"/>
        </w:rPr>
        <w:t>6</w:t>
      </w:r>
      <w:r w:rsidR="005E158E">
        <w:rPr>
          <w:rFonts w:ascii="Arial" w:hAnsi="Arial" w:cs="Arial"/>
        </w:rPr>
        <w:t xml:space="preserve"> fee </w:t>
      </w:r>
      <w:r w:rsidR="008E36AC">
        <w:rPr>
          <w:rFonts w:ascii="Arial" w:hAnsi="Arial" w:cs="Arial"/>
        </w:rPr>
        <w:t>periods</w:t>
      </w:r>
      <w:r w:rsidR="00EB0FD7">
        <w:rPr>
          <w:rFonts w:ascii="Arial" w:hAnsi="Arial" w:cs="Arial"/>
        </w:rPr>
        <w:t>.</w:t>
      </w:r>
    </w:p>
    <w:p w:rsidR="005E158E" w:rsidRDefault="00825FCC" w:rsidP="00C93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Revised proposal maintains </w:t>
      </w:r>
      <w:r w:rsidR="002140F7">
        <w:rPr>
          <w:rFonts w:ascii="Arial" w:hAnsi="Arial" w:cs="Arial"/>
        </w:rPr>
        <w:t>the committee goal to adjust</w:t>
      </w:r>
      <w:r w:rsidR="007A7C83">
        <w:rPr>
          <w:rFonts w:ascii="Arial" w:hAnsi="Arial" w:cs="Arial"/>
        </w:rPr>
        <w:t xml:space="preserve"> and maintain a 6-month (program costs) </w:t>
      </w:r>
      <w:r w:rsidR="00EB0FD7">
        <w:rPr>
          <w:rFonts w:ascii="Arial" w:hAnsi="Arial" w:cs="Arial"/>
        </w:rPr>
        <w:t>carryover balance</w:t>
      </w:r>
      <w:r w:rsidR="00D642AF">
        <w:rPr>
          <w:rFonts w:ascii="Arial" w:hAnsi="Arial" w:cs="Arial"/>
        </w:rPr>
        <w:t>.</w:t>
      </w:r>
    </w:p>
    <w:p w:rsidR="00C93FE2" w:rsidRDefault="00517D20" w:rsidP="00741E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Revised proposal maintains the </w:t>
      </w:r>
      <w:r w:rsidR="00741EF7">
        <w:rPr>
          <w:rFonts w:ascii="Arial" w:hAnsi="Arial" w:cs="Arial"/>
        </w:rPr>
        <w:t>6</w:t>
      </w:r>
      <w:r w:rsidR="00C93FE2" w:rsidRPr="00741EF7">
        <w:rPr>
          <w:rFonts w:ascii="Arial" w:hAnsi="Arial" w:cs="Arial"/>
        </w:rPr>
        <w:t>-year carryover drawdown plan</w:t>
      </w:r>
      <w:r w:rsidR="00D642AF">
        <w:rPr>
          <w:rFonts w:ascii="Arial" w:hAnsi="Arial" w:cs="Arial"/>
        </w:rPr>
        <w:t>.</w:t>
      </w:r>
    </w:p>
    <w:p w:rsidR="00517D20" w:rsidRPr="00741EF7" w:rsidRDefault="0024668E" w:rsidP="00517D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Currently</w:t>
      </w:r>
      <w:r w:rsidR="00817693">
        <w:rPr>
          <w:rFonts w:ascii="Arial" w:hAnsi="Arial" w:cs="Arial"/>
        </w:rPr>
        <w:t>,</w:t>
      </w:r>
      <w:r w:rsidR="00517D20">
        <w:rPr>
          <w:rFonts w:ascii="Arial" w:hAnsi="Arial" w:cs="Arial"/>
        </w:rPr>
        <w:t xml:space="preserve"> </w:t>
      </w:r>
      <w:r w:rsidR="007A7C83">
        <w:rPr>
          <w:rFonts w:ascii="Arial" w:hAnsi="Arial" w:cs="Arial"/>
        </w:rPr>
        <w:t xml:space="preserve">plan is </w:t>
      </w:r>
      <w:r w:rsidR="00517D20">
        <w:rPr>
          <w:rFonts w:ascii="Arial" w:hAnsi="Arial" w:cs="Arial"/>
        </w:rPr>
        <w:t>based on 2012 end of year balance of $3,502.552.00</w:t>
      </w:r>
      <w:r w:rsidR="00D642AF">
        <w:rPr>
          <w:rFonts w:ascii="Arial" w:hAnsi="Arial" w:cs="Arial"/>
        </w:rPr>
        <w:t>.</w:t>
      </w:r>
      <w:r w:rsidR="00517D20">
        <w:rPr>
          <w:rFonts w:ascii="Arial" w:hAnsi="Arial" w:cs="Arial"/>
        </w:rPr>
        <w:t xml:space="preserve"> </w:t>
      </w:r>
    </w:p>
    <w:p w:rsidR="00517D20" w:rsidRPr="00741EF7" w:rsidRDefault="0024668E" w:rsidP="00517D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A7C83">
        <w:rPr>
          <w:rFonts w:ascii="Arial" w:hAnsi="Arial" w:cs="Arial"/>
        </w:rPr>
        <w:t>P</w:t>
      </w:r>
      <w:r w:rsidR="00517D20" w:rsidRPr="007A7C83">
        <w:rPr>
          <w:rFonts w:ascii="Arial" w:hAnsi="Arial" w:cs="Arial"/>
        </w:rPr>
        <w:t xml:space="preserve">rojects </w:t>
      </w:r>
      <w:r w:rsidR="00517D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2020 </w:t>
      </w:r>
      <w:r w:rsidR="00C702A1">
        <w:rPr>
          <w:rFonts w:ascii="Arial" w:hAnsi="Arial" w:cs="Arial"/>
        </w:rPr>
        <w:t>6</w:t>
      </w:r>
      <w:r w:rsidR="00517D20">
        <w:rPr>
          <w:rFonts w:ascii="Arial" w:hAnsi="Arial" w:cs="Arial"/>
        </w:rPr>
        <w:t>-month carryover balance of $1,800,000.00</w:t>
      </w:r>
      <w:r w:rsidR="00D642AF">
        <w:rPr>
          <w:rFonts w:ascii="Arial" w:hAnsi="Arial" w:cs="Arial"/>
        </w:rPr>
        <w:t>.</w:t>
      </w:r>
    </w:p>
    <w:p w:rsidR="00EB0FD7" w:rsidRPr="0024668E" w:rsidRDefault="0024668E" w:rsidP="002466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Projects annual </w:t>
      </w:r>
      <w:r w:rsidR="00250E7C">
        <w:rPr>
          <w:rFonts w:ascii="Arial" w:hAnsi="Arial" w:cs="Arial"/>
        </w:rPr>
        <w:t xml:space="preserve">fee reduction </w:t>
      </w:r>
      <w:r w:rsidR="007A7C83">
        <w:rPr>
          <w:rFonts w:ascii="Arial" w:hAnsi="Arial" w:cs="Arial"/>
        </w:rPr>
        <w:t>of $300,000.00 per year (6</w:t>
      </w:r>
      <w:r w:rsidR="00C702A1">
        <w:rPr>
          <w:rFonts w:ascii="Arial" w:hAnsi="Arial" w:cs="Arial"/>
        </w:rPr>
        <w:t>-</w:t>
      </w:r>
      <w:r w:rsidR="007A7C83">
        <w:rPr>
          <w:rFonts w:ascii="Arial" w:hAnsi="Arial" w:cs="Arial"/>
        </w:rPr>
        <w:t>years)</w:t>
      </w:r>
      <w:r>
        <w:rPr>
          <w:rFonts w:ascii="Arial" w:hAnsi="Arial" w:cs="Arial"/>
        </w:rPr>
        <w:t xml:space="preserve"> adjusted at mid-point</w:t>
      </w:r>
      <w:r w:rsidR="007A7C83">
        <w:rPr>
          <w:rFonts w:ascii="Arial" w:hAnsi="Arial" w:cs="Arial"/>
        </w:rPr>
        <w:t>.</w:t>
      </w:r>
    </w:p>
    <w:p w:rsidR="00EB0FD7" w:rsidRDefault="006567D6" w:rsidP="006567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Proposes fee </w:t>
      </w:r>
      <w:r w:rsidR="002641B7">
        <w:rPr>
          <w:rFonts w:ascii="Arial" w:hAnsi="Arial" w:cs="Arial"/>
        </w:rPr>
        <w:t>adjustment</w:t>
      </w:r>
      <w:r w:rsidR="002641B7" w:rsidRPr="00125F97">
        <w:rPr>
          <w:rFonts w:ascii="Arial" w:hAnsi="Arial" w:cs="Arial"/>
        </w:rPr>
        <w:t xml:space="preserve"> </w:t>
      </w:r>
      <w:r w:rsidR="00741EF7" w:rsidRPr="00125F97">
        <w:rPr>
          <w:rFonts w:ascii="Arial" w:hAnsi="Arial" w:cs="Arial"/>
        </w:rPr>
        <w:t xml:space="preserve">for </w:t>
      </w:r>
      <w:r w:rsidR="00125F97" w:rsidRPr="00125F97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facilities</w:t>
      </w:r>
      <w:r w:rsidR="007A7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active permits on or before Dec</w:t>
      </w:r>
      <w:r w:rsidR="008176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31, 2014 </w:t>
      </w:r>
      <w:r w:rsidRPr="006567D6">
        <w:rPr>
          <w:rFonts w:ascii="Arial" w:hAnsi="Arial" w:cs="Arial"/>
        </w:rPr>
        <w:t>(without delinquent accounts)</w:t>
      </w:r>
      <w:r>
        <w:rPr>
          <w:rFonts w:ascii="Arial" w:hAnsi="Arial" w:cs="Arial"/>
        </w:rPr>
        <w:t>.</w:t>
      </w:r>
    </w:p>
    <w:p w:rsidR="006567D6" w:rsidRPr="00471623" w:rsidRDefault="006567D6" w:rsidP="006567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71623">
        <w:rPr>
          <w:rFonts w:ascii="Arial" w:hAnsi="Arial" w:cs="Arial"/>
        </w:rPr>
        <w:t>Proposes fixed fee reduction credits for all eligible</w:t>
      </w:r>
      <w:r w:rsidR="00D67DF0" w:rsidRPr="00471623">
        <w:rPr>
          <w:rFonts w:ascii="Arial" w:hAnsi="Arial" w:cs="Arial"/>
        </w:rPr>
        <w:t xml:space="preserve"> </w:t>
      </w:r>
      <w:r w:rsidRPr="00471623">
        <w:rPr>
          <w:rFonts w:ascii="Arial" w:hAnsi="Arial" w:cs="Arial"/>
        </w:rPr>
        <w:t>faci</w:t>
      </w:r>
      <w:r w:rsidR="00D67DF0" w:rsidRPr="00471623">
        <w:rPr>
          <w:rFonts w:ascii="Arial" w:hAnsi="Arial" w:cs="Arial"/>
        </w:rPr>
        <w:t>li</w:t>
      </w:r>
      <w:r w:rsidRPr="00471623">
        <w:rPr>
          <w:rFonts w:ascii="Arial" w:hAnsi="Arial" w:cs="Arial"/>
        </w:rPr>
        <w:t>ties</w:t>
      </w:r>
      <w:r w:rsidR="007A7C83">
        <w:rPr>
          <w:rFonts w:ascii="Arial" w:hAnsi="Arial" w:cs="Arial"/>
        </w:rPr>
        <w:t xml:space="preserve"> for next 6</w:t>
      </w:r>
      <w:r w:rsidR="00A021D4">
        <w:rPr>
          <w:rFonts w:ascii="Arial" w:hAnsi="Arial" w:cs="Arial"/>
        </w:rPr>
        <w:t xml:space="preserve"> </w:t>
      </w:r>
      <w:r w:rsidR="007A7C83">
        <w:rPr>
          <w:rFonts w:ascii="Arial" w:hAnsi="Arial" w:cs="Arial"/>
        </w:rPr>
        <w:t>years.</w:t>
      </w:r>
    </w:p>
    <w:p w:rsidR="00D67DF0" w:rsidRPr="00471623" w:rsidRDefault="006567D6" w:rsidP="00D67D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1623">
        <w:rPr>
          <w:rFonts w:ascii="Arial" w:hAnsi="Arial" w:cs="Arial"/>
        </w:rPr>
        <w:t>Recommends the proposed</w:t>
      </w:r>
      <w:r w:rsidR="007A7C83">
        <w:rPr>
          <w:rFonts w:ascii="Arial" w:hAnsi="Arial" w:cs="Arial"/>
        </w:rPr>
        <w:t xml:space="preserve"> i</w:t>
      </w:r>
      <w:r w:rsidR="00471623">
        <w:rPr>
          <w:rFonts w:ascii="Arial" w:hAnsi="Arial" w:cs="Arial"/>
        </w:rPr>
        <w:t xml:space="preserve">ndependent </w:t>
      </w:r>
      <w:r w:rsidRPr="00471623">
        <w:rPr>
          <w:rFonts w:ascii="Arial" w:hAnsi="Arial" w:cs="Arial"/>
        </w:rPr>
        <w:t xml:space="preserve">Management Review Study </w:t>
      </w:r>
      <w:r w:rsidR="00471623">
        <w:rPr>
          <w:rFonts w:ascii="Arial" w:hAnsi="Arial" w:cs="Arial"/>
        </w:rPr>
        <w:t xml:space="preserve">requirements </w:t>
      </w:r>
      <w:r w:rsidRPr="00471623">
        <w:rPr>
          <w:rFonts w:ascii="Arial" w:hAnsi="Arial" w:cs="Arial"/>
        </w:rPr>
        <w:t>be inc</w:t>
      </w:r>
      <w:r w:rsidR="00D67DF0" w:rsidRPr="00471623">
        <w:rPr>
          <w:rFonts w:ascii="Arial" w:hAnsi="Arial" w:cs="Arial"/>
        </w:rPr>
        <w:t>orporated directly into the TV legislation.</w:t>
      </w:r>
      <w:r w:rsidR="007A7C83">
        <w:rPr>
          <w:rFonts w:ascii="Arial" w:hAnsi="Arial" w:cs="Arial"/>
        </w:rPr>
        <w:t xml:space="preserve"> The study recommends the following:</w:t>
      </w:r>
    </w:p>
    <w:p w:rsidR="00471623" w:rsidRPr="00D30DB9" w:rsidRDefault="00471623" w:rsidP="00D67DF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30DB9">
        <w:rPr>
          <w:rFonts w:ascii="Arial" w:hAnsi="Arial" w:cs="Arial"/>
        </w:rPr>
        <w:t>Study and identify methods to optimize</w:t>
      </w:r>
      <w:r w:rsidR="00D30DB9">
        <w:rPr>
          <w:rFonts w:ascii="Arial" w:hAnsi="Arial" w:cs="Arial"/>
        </w:rPr>
        <w:t xml:space="preserve"> air quality </w:t>
      </w:r>
      <w:r w:rsidRPr="00D30DB9">
        <w:rPr>
          <w:rFonts w:ascii="Arial" w:hAnsi="Arial" w:cs="Arial"/>
        </w:rPr>
        <w:t>proce</w:t>
      </w:r>
      <w:r w:rsidR="00D30DB9">
        <w:rPr>
          <w:rFonts w:ascii="Arial" w:hAnsi="Arial" w:cs="Arial"/>
        </w:rPr>
        <w:t>sses</w:t>
      </w:r>
      <w:r w:rsidR="00D642AF">
        <w:rPr>
          <w:rFonts w:ascii="Arial" w:hAnsi="Arial" w:cs="Arial"/>
        </w:rPr>
        <w:t>.</w:t>
      </w:r>
    </w:p>
    <w:p w:rsidR="00D30DB9" w:rsidRDefault="00471623" w:rsidP="00D67DF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30DB9">
        <w:rPr>
          <w:rFonts w:ascii="Arial" w:hAnsi="Arial" w:cs="Arial"/>
        </w:rPr>
        <w:t>Ensure DNREC’s prog</w:t>
      </w:r>
      <w:r w:rsidR="007A7C83">
        <w:rPr>
          <w:rFonts w:ascii="Arial" w:hAnsi="Arial" w:cs="Arial"/>
        </w:rPr>
        <w:t xml:space="preserve">ram staff is “right-sized” for </w:t>
      </w:r>
      <w:r w:rsidRPr="00D30DB9">
        <w:rPr>
          <w:rFonts w:ascii="Arial" w:hAnsi="Arial" w:cs="Arial"/>
        </w:rPr>
        <w:t>the future</w:t>
      </w:r>
      <w:r w:rsidR="00D30DB9">
        <w:rPr>
          <w:rFonts w:ascii="Arial" w:hAnsi="Arial" w:cs="Arial"/>
        </w:rPr>
        <w:t xml:space="preserve">. </w:t>
      </w:r>
    </w:p>
    <w:p w:rsidR="00D67DF0" w:rsidRPr="00D30DB9" w:rsidRDefault="00431891" w:rsidP="00D67DF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Optimize </w:t>
      </w:r>
      <w:r w:rsidR="00D30DB9">
        <w:rPr>
          <w:rFonts w:ascii="Arial" w:hAnsi="Arial" w:cs="Arial"/>
        </w:rPr>
        <w:t>emissions</w:t>
      </w:r>
      <w:r w:rsidR="007A7C83">
        <w:rPr>
          <w:rFonts w:ascii="Arial" w:hAnsi="Arial" w:cs="Arial"/>
        </w:rPr>
        <w:t xml:space="preserve"> inventory process</w:t>
      </w:r>
      <w:r>
        <w:rPr>
          <w:rFonts w:ascii="Arial" w:hAnsi="Arial" w:cs="Arial"/>
        </w:rPr>
        <w:t>es</w:t>
      </w:r>
      <w:r w:rsidR="007A7C83">
        <w:rPr>
          <w:rFonts w:ascii="Arial" w:hAnsi="Arial" w:cs="Arial"/>
        </w:rPr>
        <w:t xml:space="preserve"> to support time</w:t>
      </w:r>
      <w:r>
        <w:rPr>
          <w:rFonts w:ascii="Arial" w:hAnsi="Arial" w:cs="Arial"/>
        </w:rPr>
        <w:t xml:space="preserve">ly </w:t>
      </w:r>
      <w:r w:rsidR="007A7C83">
        <w:rPr>
          <w:rFonts w:ascii="Arial" w:hAnsi="Arial" w:cs="Arial"/>
        </w:rPr>
        <w:t>data and billing.</w:t>
      </w:r>
      <w:r w:rsidR="00D67DF0" w:rsidRPr="00D30DB9">
        <w:rPr>
          <w:rFonts w:ascii="Arial" w:hAnsi="Arial" w:cs="Arial"/>
        </w:rPr>
        <w:t xml:space="preserve">  </w:t>
      </w:r>
    </w:p>
    <w:p w:rsidR="00D67DF0" w:rsidRPr="00D30DB9" w:rsidRDefault="00D67DF0" w:rsidP="00D67DF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30DB9">
        <w:rPr>
          <w:rFonts w:ascii="Arial" w:hAnsi="Arial" w:cs="Arial"/>
        </w:rPr>
        <w:t xml:space="preserve">Recommends study </w:t>
      </w:r>
      <w:r w:rsidR="00D30DB9">
        <w:rPr>
          <w:rFonts w:ascii="Arial" w:hAnsi="Arial" w:cs="Arial"/>
        </w:rPr>
        <w:t>commence 3</w:t>
      </w:r>
      <w:r w:rsidR="00D30DB9" w:rsidRPr="00D30DB9">
        <w:rPr>
          <w:rFonts w:ascii="Arial" w:hAnsi="Arial" w:cs="Arial"/>
          <w:vertAlign w:val="superscript"/>
        </w:rPr>
        <w:t>rd</w:t>
      </w:r>
      <w:r w:rsidR="00D30DB9">
        <w:rPr>
          <w:rFonts w:ascii="Arial" w:hAnsi="Arial" w:cs="Arial"/>
        </w:rPr>
        <w:t xml:space="preserve"> </w:t>
      </w:r>
      <w:r w:rsidR="00C04160">
        <w:rPr>
          <w:rFonts w:ascii="Arial" w:hAnsi="Arial" w:cs="Arial"/>
        </w:rPr>
        <w:t>Qt</w:t>
      </w:r>
      <w:r w:rsidRPr="00D30DB9">
        <w:rPr>
          <w:rFonts w:ascii="Arial" w:hAnsi="Arial" w:cs="Arial"/>
        </w:rPr>
        <w:t xml:space="preserve">r </w:t>
      </w:r>
      <w:r w:rsidR="00D30DB9">
        <w:rPr>
          <w:rFonts w:ascii="Arial" w:hAnsi="Arial" w:cs="Arial"/>
        </w:rPr>
        <w:t xml:space="preserve">2014, and </w:t>
      </w:r>
      <w:r w:rsidR="00C04160">
        <w:rPr>
          <w:rFonts w:ascii="Arial" w:hAnsi="Arial" w:cs="Arial"/>
        </w:rPr>
        <w:t xml:space="preserve">be </w:t>
      </w:r>
      <w:r w:rsidR="00D30DB9">
        <w:rPr>
          <w:rFonts w:ascii="Arial" w:hAnsi="Arial" w:cs="Arial"/>
        </w:rPr>
        <w:t>complete</w:t>
      </w:r>
      <w:r w:rsidR="00C04160">
        <w:rPr>
          <w:rFonts w:ascii="Arial" w:hAnsi="Arial" w:cs="Arial"/>
        </w:rPr>
        <w:t>d</w:t>
      </w:r>
      <w:r w:rsidR="00D30DB9">
        <w:rPr>
          <w:rFonts w:ascii="Arial" w:hAnsi="Arial" w:cs="Arial"/>
        </w:rPr>
        <w:t xml:space="preserve"> by 2</w:t>
      </w:r>
      <w:r w:rsidR="00D30DB9" w:rsidRPr="00D30DB9">
        <w:rPr>
          <w:rFonts w:ascii="Arial" w:hAnsi="Arial" w:cs="Arial"/>
          <w:vertAlign w:val="superscript"/>
        </w:rPr>
        <w:t>nd</w:t>
      </w:r>
      <w:r w:rsidR="00D30DB9">
        <w:rPr>
          <w:rFonts w:ascii="Arial" w:hAnsi="Arial" w:cs="Arial"/>
        </w:rPr>
        <w:t xml:space="preserve"> </w:t>
      </w:r>
      <w:r w:rsidR="00C04160">
        <w:rPr>
          <w:rFonts w:ascii="Arial" w:hAnsi="Arial" w:cs="Arial"/>
        </w:rPr>
        <w:t>Qt</w:t>
      </w:r>
      <w:r w:rsidRPr="00D30DB9">
        <w:rPr>
          <w:rFonts w:ascii="Arial" w:hAnsi="Arial" w:cs="Arial"/>
        </w:rPr>
        <w:t xml:space="preserve">r 2015.  </w:t>
      </w:r>
    </w:p>
    <w:p w:rsidR="00471623" w:rsidRPr="00471623" w:rsidRDefault="00C04160" w:rsidP="00D67DF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31891">
        <w:rPr>
          <w:rFonts w:ascii="Arial" w:hAnsi="Arial" w:cs="Arial"/>
        </w:rPr>
        <w:t xml:space="preserve">Did </w:t>
      </w:r>
      <w:r w:rsidRPr="00725214">
        <w:rPr>
          <w:rFonts w:ascii="Arial" w:hAnsi="Arial" w:cs="Arial"/>
          <w:u w:val="single"/>
        </w:rPr>
        <w:t>not</w:t>
      </w:r>
      <w:r w:rsidRPr="00431891">
        <w:rPr>
          <w:rFonts w:ascii="Arial" w:hAnsi="Arial" w:cs="Arial"/>
        </w:rPr>
        <w:t xml:space="preserve"> provide</w:t>
      </w:r>
      <w:r>
        <w:rPr>
          <w:rFonts w:ascii="Arial" w:hAnsi="Arial" w:cs="Arial"/>
        </w:rPr>
        <w:t xml:space="preserve"> the study </w:t>
      </w:r>
      <w:r w:rsidR="00D642AF">
        <w:rPr>
          <w:rFonts w:ascii="Arial" w:hAnsi="Arial" w:cs="Arial"/>
        </w:rPr>
        <w:t>funding limit.</w:t>
      </w:r>
    </w:p>
    <w:p w:rsidR="00471623" w:rsidRDefault="00C04160" w:rsidP="005A21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71623" w:rsidRPr="00471623">
        <w:rPr>
          <w:rFonts w:ascii="Arial" w:hAnsi="Arial" w:cs="Arial"/>
        </w:rPr>
        <w:t xml:space="preserve">uggests process </w:t>
      </w:r>
      <w:r>
        <w:rPr>
          <w:rFonts w:ascii="Arial" w:hAnsi="Arial" w:cs="Arial"/>
        </w:rPr>
        <w:t>efficiencies and resulting staff adjustment</w:t>
      </w:r>
      <w:r w:rsidR="00431891">
        <w:rPr>
          <w:rFonts w:ascii="Arial" w:hAnsi="Arial" w:cs="Arial"/>
        </w:rPr>
        <w:t>s, if any, be considered for 2017</w:t>
      </w:r>
      <w:r w:rsidR="00471623" w:rsidRPr="00471623">
        <w:rPr>
          <w:rFonts w:ascii="Arial" w:hAnsi="Arial" w:cs="Arial"/>
        </w:rPr>
        <w:t xml:space="preserve"> fee schedule</w:t>
      </w:r>
      <w:r w:rsidR="00431891">
        <w:rPr>
          <w:rFonts w:ascii="Arial" w:hAnsi="Arial" w:cs="Arial"/>
        </w:rPr>
        <w:t xml:space="preserve"> adjustments.</w:t>
      </w:r>
    </w:p>
    <w:p w:rsidR="005A2135" w:rsidRPr="005A2135" w:rsidRDefault="005A2135" w:rsidP="005A2135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04160" w:rsidRDefault="00431891" w:rsidP="005A21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Feedback/Response</w:t>
      </w:r>
      <w:r w:rsidR="00C81F3E" w:rsidRPr="00C81F3E">
        <w:rPr>
          <w:rFonts w:ascii="Arial" w:hAnsi="Arial" w:cs="Arial"/>
          <w:b/>
        </w:rPr>
        <w:t>:</w:t>
      </w:r>
      <w:r w:rsidR="009132EF" w:rsidRPr="00431891">
        <w:rPr>
          <w:rFonts w:ascii="Arial" w:hAnsi="Arial" w:cs="Arial"/>
        </w:rPr>
        <w:t xml:space="preserve"> </w:t>
      </w:r>
      <w:r w:rsidR="00F110F9">
        <w:rPr>
          <w:rFonts w:ascii="Arial" w:hAnsi="Arial" w:cs="Arial"/>
        </w:rPr>
        <w:t>the DAQ Director</w:t>
      </w:r>
      <w:r w:rsidR="00393E76">
        <w:rPr>
          <w:rFonts w:ascii="Arial" w:hAnsi="Arial" w:cs="Arial"/>
        </w:rPr>
        <w:t xml:space="preserve"> and staff </w:t>
      </w:r>
      <w:r w:rsidR="00C04160" w:rsidRPr="00431891">
        <w:rPr>
          <w:rFonts w:ascii="Arial" w:hAnsi="Arial" w:cs="Arial"/>
        </w:rPr>
        <w:t>provide</w:t>
      </w:r>
      <w:r w:rsidR="00B01447" w:rsidRPr="00431891">
        <w:rPr>
          <w:rFonts w:ascii="Arial" w:hAnsi="Arial" w:cs="Arial"/>
        </w:rPr>
        <w:t>d</w:t>
      </w:r>
      <w:r w:rsidR="00C04160" w:rsidRPr="00431891">
        <w:rPr>
          <w:rFonts w:ascii="Arial" w:hAnsi="Arial" w:cs="Arial"/>
        </w:rPr>
        <w:t xml:space="preserve"> the</w:t>
      </w:r>
      <w:r w:rsidR="00393E76">
        <w:rPr>
          <w:rFonts w:ascii="Arial" w:hAnsi="Arial" w:cs="Arial"/>
        </w:rPr>
        <w:t xml:space="preserve"> following feedback</w:t>
      </w:r>
      <w:r w:rsidR="00C04160" w:rsidRPr="00431891">
        <w:rPr>
          <w:rFonts w:ascii="Arial" w:hAnsi="Arial" w:cs="Arial"/>
        </w:rPr>
        <w:t>:</w:t>
      </w:r>
    </w:p>
    <w:p w:rsidR="005A2135" w:rsidRPr="005A2135" w:rsidRDefault="005A2135" w:rsidP="005A21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F9C" w:rsidRDefault="00E14DD7" w:rsidP="0043189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1891">
        <w:rPr>
          <w:rFonts w:ascii="Arial" w:hAnsi="Arial" w:cs="Arial"/>
        </w:rPr>
        <w:t xml:space="preserve">Although DAQ </w:t>
      </w:r>
      <w:r w:rsidR="00431891">
        <w:rPr>
          <w:rFonts w:ascii="Arial" w:hAnsi="Arial" w:cs="Arial"/>
        </w:rPr>
        <w:t xml:space="preserve">previously recommended the </w:t>
      </w:r>
      <w:r w:rsidRPr="00431891">
        <w:rPr>
          <w:rFonts w:ascii="Arial" w:hAnsi="Arial" w:cs="Arial"/>
        </w:rPr>
        <w:t>management study</w:t>
      </w:r>
      <w:r w:rsidR="00431891">
        <w:rPr>
          <w:rFonts w:ascii="Arial" w:hAnsi="Arial" w:cs="Arial"/>
        </w:rPr>
        <w:t xml:space="preserve"> provisions</w:t>
      </w:r>
      <w:r w:rsidR="006B0F9C">
        <w:rPr>
          <w:rFonts w:ascii="Arial" w:hAnsi="Arial" w:cs="Arial"/>
        </w:rPr>
        <w:t xml:space="preserve"> be developed and orchestrated </w:t>
      </w:r>
      <w:r w:rsidRPr="00431891">
        <w:rPr>
          <w:rFonts w:ascii="Arial" w:hAnsi="Arial" w:cs="Arial"/>
        </w:rPr>
        <w:t xml:space="preserve">through a Memorandum of Agreement, DAQ </w:t>
      </w:r>
      <w:r w:rsidR="002641B7">
        <w:rPr>
          <w:rFonts w:ascii="Arial" w:hAnsi="Arial" w:cs="Arial"/>
        </w:rPr>
        <w:t>does not object to</w:t>
      </w:r>
      <w:r w:rsidRPr="00431891">
        <w:rPr>
          <w:rFonts w:ascii="Arial" w:hAnsi="Arial" w:cs="Arial"/>
        </w:rPr>
        <w:t xml:space="preserve"> the incorporation of the management study</w:t>
      </w:r>
      <w:r w:rsidR="00431891">
        <w:rPr>
          <w:rFonts w:ascii="Arial" w:hAnsi="Arial" w:cs="Arial"/>
        </w:rPr>
        <w:t xml:space="preserve"> into the legislation</w:t>
      </w:r>
      <w:r w:rsidR="006B0F9C">
        <w:rPr>
          <w:rFonts w:ascii="Arial" w:hAnsi="Arial" w:cs="Arial"/>
        </w:rPr>
        <w:t xml:space="preserve">. </w:t>
      </w:r>
    </w:p>
    <w:p w:rsidR="00431891" w:rsidRPr="006B0F9C" w:rsidRDefault="00C04160" w:rsidP="006B0F9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B0F9C">
        <w:rPr>
          <w:rFonts w:ascii="Arial" w:hAnsi="Arial" w:cs="Arial"/>
        </w:rPr>
        <w:t>Considering the State</w:t>
      </w:r>
      <w:r w:rsidR="00B01447" w:rsidRPr="006B0F9C">
        <w:rPr>
          <w:rFonts w:ascii="Arial" w:hAnsi="Arial" w:cs="Arial"/>
        </w:rPr>
        <w:t xml:space="preserve"> contracting and</w:t>
      </w:r>
      <w:r w:rsidRPr="006B0F9C">
        <w:rPr>
          <w:rFonts w:ascii="Arial" w:hAnsi="Arial" w:cs="Arial"/>
        </w:rPr>
        <w:t xml:space="preserve"> procurement process</w:t>
      </w:r>
      <w:r w:rsidR="00665A86">
        <w:rPr>
          <w:rFonts w:ascii="Arial" w:hAnsi="Arial" w:cs="Arial"/>
        </w:rPr>
        <w:t>es</w:t>
      </w:r>
      <w:r w:rsidR="00A021D4">
        <w:rPr>
          <w:rFonts w:ascii="Arial" w:hAnsi="Arial" w:cs="Arial"/>
        </w:rPr>
        <w:t>,</w:t>
      </w:r>
      <w:r w:rsidRPr="006B0F9C">
        <w:rPr>
          <w:rFonts w:ascii="Arial" w:hAnsi="Arial" w:cs="Arial"/>
        </w:rPr>
        <w:t xml:space="preserve"> the </w:t>
      </w:r>
      <w:r w:rsidR="006B0F9C">
        <w:rPr>
          <w:rFonts w:ascii="Arial" w:hAnsi="Arial" w:cs="Arial"/>
        </w:rPr>
        <w:t>proposed time</w:t>
      </w:r>
      <w:r w:rsidR="00B01447" w:rsidRPr="006B0F9C">
        <w:rPr>
          <w:rFonts w:ascii="Arial" w:hAnsi="Arial" w:cs="Arial"/>
        </w:rPr>
        <w:t xml:space="preserve">line for the Management Study is </w:t>
      </w:r>
      <w:r w:rsidR="00E14DD7" w:rsidRPr="006B0F9C">
        <w:rPr>
          <w:rFonts w:ascii="Arial" w:hAnsi="Arial" w:cs="Arial"/>
        </w:rPr>
        <w:t xml:space="preserve">very </w:t>
      </w:r>
      <w:r w:rsidR="00431891" w:rsidRPr="006B0F9C">
        <w:rPr>
          <w:rFonts w:ascii="Arial" w:hAnsi="Arial" w:cs="Arial"/>
        </w:rPr>
        <w:t>unrealistic.</w:t>
      </w:r>
    </w:p>
    <w:p w:rsidR="00431891" w:rsidRPr="006B0F9C" w:rsidRDefault="00665A86" w:rsidP="006B0F9C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DAQ predicts a minimum of </w:t>
      </w:r>
      <w:r w:rsidR="00C702A1">
        <w:rPr>
          <w:rFonts w:ascii="Arial" w:hAnsi="Arial" w:cs="Arial"/>
        </w:rPr>
        <w:t>2-</w:t>
      </w:r>
      <w:r w:rsidR="00E14DD7" w:rsidRPr="00431891">
        <w:rPr>
          <w:rFonts w:ascii="Arial" w:hAnsi="Arial" w:cs="Arial"/>
        </w:rPr>
        <w:t>years to</w:t>
      </w:r>
      <w:r w:rsidR="006B0F9C">
        <w:rPr>
          <w:rFonts w:ascii="Arial" w:hAnsi="Arial" w:cs="Arial"/>
        </w:rPr>
        <w:t xml:space="preserve"> contract and execute an independent management review.</w:t>
      </w:r>
    </w:p>
    <w:p w:rsidR="003A2BE0" w:rsidRDefault="00665A86" w:rsidP="003A2BE0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Any</w:t>
      </w:r>
      <w:r w:rsidR="006B0F9C">
        <w:rPr>
          <w:rFonts w:ascii="Arial" w:hAnsi="Arial" w:cs="Arial"/>
        </w:rPr>
        <w:t xml:space="preserve"> m</w:t>
      </w:r>
      <w:r w:rsidR="00431891">
        <w:rPr>
          <w:rFonts w:ascii="Arial" w:hAnsi="Arial" w:cs="Arial"/>
        </w:rPr>
        <w:t xml:space="preserve">easureable </w:t>
      </w:r>
      <w:r w:rsidR="006B0F9C" w:rsidRPr="006B0F9C">
        <w:rPr>
          <w:rFonts w:ascii="Arial" w:hAnsi="Arial" w:cs="Arial"/>
        </w:rPr>
        <w:t>operating efficiencies</w:t>
      </w:r>
      <w:r>
        <w:rPr>
          <w:rFonts w:ascii="Arial" w:hAnsi="Arial" w:cs="Arial"/>
        </w:rPr>
        <w:t xml:space="preserve"> and workload impacts will </w:t>
      </w:r>
      <w:r w:rsidR="00C702A1">
        <w:rPr>
          <w:rFonts w:ascii="Arial" w:hAnsi="Arial" w:cs="Arial"/>
        </w:rPr>
        <w:t xml:space="preserve">require additional time beyond the study </w:t>
      </w:r>
      <w:r>
        <w:rPr>
          <w:rFonts w:ascii="Arial" w:hAnsi="Arial" w:cs="Arial"/>
        </w:rPr>
        <w:t xml:space="preserve">to validate and </w:t>
      </w:r>
      <w:r w:rsidR="003A2BE0">
        <w:rPr>
          <w:rFonts w:ascii="Arial" w:hAnsi="Arial" w:cs="Arial"/>
        </w:rPr>
        <w:t>institutionalize.</w:t>
      </w:r>
      <w:r w:rsidR="00E14DD7" w:rsidRPr="006B0F9C">
        <w:rPr>
          <w:rFonts w:ascii="Arial" w:hAnsi="Arial" w:cs="Arial"/>
        </w:rPr>
        <w:t xml:space="preserve"> </w:t>
      </w:r>
    </w:p>
    <w:p w:rsidR="00A34261" w:rsidRDefault="00A34261" w:rsidP="00A3426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Based on the management </w:t>
      </w:r>
      <w:r w:rsidR="00393E76">
        <w:rPr>
          <w:rFonts w:ascii="Arial" w:hAnsi="Arial" w:cs="Arial"/>
        </w:rPr>
        <w:t>study timeline expectation</w:t>
      </w:r>
      <w:r>
        <w:rPr>
          <w:rFonts w:ascii="Arial" w:hAnsi="Arial" w:cs="Arial"/>
        </w:rPr>
        <w:t xml:space="preserve">, DAQ recommends maintaining a </w:t>
      </w:r>
      <w:r w:rsidR="00C702A1">
        <w:rPr>
          <w:rFonts w:ascii="Arial" w:hAnsi="Arial" w:cs="Arial"/>
        </w:rPr>
        <w:t>3</w:t>
      </w:r>
      <w:r>
        <w:rPr>
          <w:rFonts w:ascii="Arial" w:hAnsi="Arial" w:cs="Arial"/>
        </w:rPr>
        <w:t>-year fee cycle.</w:t>
      </w:r>
    </w:p>
    <w:p w:rsidR="00A34261" w:rsidRPr="00A34261" w:rsidRDefault="00393E76" w:rsidP="00A34261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34261">
        <w:rPr>
          <w:rFonts w:ascii="Arial" w:hAnsi="Arial" w:cs="Arial"/>
        </w:rPr>
        <w:t xml:space="preserve">rovide the option to renegotiate the third year </w:t>
      </w:r>
      <w:r>
        <w:rPr>
          <w:rFonts w:ascii="Arial" w:hAnsi="Arial" w:cs="Arial"/>
        </w:rPr>
        <w:t xml:space="preserve">fees </w:t>
      </w:r>
      <w:r w:rsidR="00A34261">
        <w:rPr>
          <w:rFonts w:ascii="Arial" w:hAnsi="Arial" w:cs="Arial"/>
        </w:rPr>
        <w:t xml:space="preserve">if immediate and significant efficiencies are gained through the </w:t>
      </w:r>
      <w:r w:rsidR="00C702A1">
        <w:rPr>
          <w:rFonts w:ascii="Arial" w:hAnsi="Arial" w:cs="Arial"/>
        </w:rPr>
        <w:t xml:space="preserve">initial </w:t>
      </w:r>
      <w:r w:rsidR="00A34261">
        <w:rPr>
          <w:rFonts w:ascii="Arial" w:hAnsi="Arial" w:cs="Arial"/>
        </w:rPr>
        <w:t>management study</w:t>
      </w:r>
      <w:r w:rsidR="00303089">
        <w:rPr>
          <w:rFonts w:ascii="Arial" w:hAnsi="Arial" w:cs="Arial"/>
        </w:rPr>
        <w:t>.</w:t>
      </w:r>
    </w:p>
    <w:p w:rsidR="003A2BE0" w:rsidRDefault="003A2BE0" w:rsidP="003A2BE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3A2BE0">
        <w:rPr>
          <w:rFonts w:ascii="Arial" w:hAnsi="Arial" w:cs="Arial"/>
        </w:rPr>
        <w:t xml:space="preserve"> </w:t>
      </w:r>
      <w:r w:rsidR="00C702A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-year </w:t>
      </w:r>
      <w:r w:rsidRPr="003A2BE0">
        <w:rPr>
          <w:rFonts w:ascii="Arial" w:hAnsi="Arial" w:cs="Arial"/>
        </w:rPr>
        <w:t xml:space="preserve">drawdown plan does </w:t>
      </w:r>
      <w:r w:rsidRPr="00393E76"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>consider the projected program costs in 2020.</w:t>
      </w:r>
    </w:p>
    <w:p w:rsidR="003A2BE0" w:rsidRDefault="003A2BE0" w:rsidP="003A2BE0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Projected 2020 program costs are $4,085,199.00.</w:t>
      </w:r>
    </w:p>
    <w:p w:rsidR="003A2BE0" w:rsidRDefault="003A2BE0" w:rsidP="003A2BE0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Required 2020 carryover balance </w:t>
      </w:r>
      <w:r w:rsidR="00393E76">
        <w:rPr>
          <w:rFonts w:ascii="Arial" w:hAnsi="Arial" w:cs="Arial"/>
        </w:rPr>
        <w:t xml:space="preserve">(6-months) </w:t>
      </w:r>
      <w:r>
        <w:rPr>
          <w:rFonts w:ascii="Arial" w:hAnsi="Arial" w:cs="Arial"/>
        </w:rPr>
        <w:t>is estimated at $2,042,600.00</w:t>
      </w:r>
      <w:r w:rsidR="00A523EC">
        <w:rPr>
          <w:rFonts w:ascii="Arial" w:hAnsi="Arial" w:cs="Arial"/>
        </w:rPr>
        <w:t>.</w:t>
      </w:r>
    </w:p>
    <w:p w:rsidR="00A523EC" w:rsidRPr="003A2BE0" w:rsidRDefault="00A523EC" w:rsidP="003A2BE0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Mid-point adjustments may be required to reach goal.</w:t>
      </w:r>
    </w:p>
    <w:p w:rsidR="00A523EC" w:rsidRDefault="003A2BE0" w:rsidP="003A2BE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DAQ does </w:t>
      </w:r>
      <w:r w:rsidR="00A34261">
        <w:rPr>
          <w:rFonts w:ascii="Arial" w:hAnsi="Arial" w:cs="Arial"/>
        </w:rPr>
        <w:t>not support</w:t>
      </w:r>
      <w:r w:rsidR="00A52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fixed fee </w:t>
      </w:r>
      <w:r w:rsidR="002641B7">
        <w:rPr>
          <w:rFonts w:ascii="Arial" w:hAnsi="Arial" w:cs="Arial"/>
        </w:rPr>
        <w:t xml:space="preserve">adjustments </w:t>
      </w:r>
      <w:r w:rsidR="00A523EC">
        <w:rPr>
          <w:rFonts w:ascii="Arial" w:hAnsi="Arial" w:cs="Arial"/>
        </w:rPr>
        <w:t>for the six-year dr</w:t>
      </w:r>
      <w:r w:rsidR="00A34261">
        <w:rPr>
          <w:rFonts w:ascii="Arial" w:hAnsi="Arial" w:cs="Arial"/>
        </w:rPr>
        <w:t>a</w:t>
      </w:r>
      <w:r w:rsidR="00A523EC">
        <w:rPr>
          <w:rFonts w:ascii="Arial" w:hAnsi="Arial" w:cs="Arial"/>
        </w:rPr>
        <w:t>wdown.</w:t>
      </w:r>
    </w:p>
    <w:p w:rsidR="00A34261" w:rsidRDefault="00A523EC" w:rsidP="00A523EC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Agai</w:t>
      </w:r>
      <w:r w:rsidR="00A34261">
        <w:rPr>
          <w:rFonts w:ascii="Arial" w:hAnsi="Arial" w:cs="Arial"/>
        </w:rPr>
        <w:t>n</w:t>
      </w:r>
      <w:r>
        <w:rPr>
          <w:rFonts w:ascii="Arial" w:hAnsi="Arial" w:cs="Arial"/>
        </w:rPr>
        <w:t>, mid-point adjustments may be</w:t>
      </w:r>
      <w:r w:rsidR="003A2BE0">
        <w:rPr>
          <w:rFonts w:ascii="Arial" w:hAnsi="Arial" w:cs="Arial"/>
        </w:rPr>
        <w:t xml:space="preserve"> </w:t>
      </w:r>
      <w:r w:rsidR="00A34261">
        <w:rPr>
          <w:rFonts w:ascii="Arial" w:hAnsi="Arial" w:cs="Arial"/>
        </w:rPr>
        <w:t>required to meet carryover balance goals.</w:t>
      </w:r>
    </w:p>
    <w:p w:rsidR="00A34261" w:rsidRDefault="00A34261" w:rsidP="00A523EC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DAQ recommends fixed percentages based on facility categories.</w:t>
      </w:r>
    </w:p>
    <w:p w:rsidR="00A34261" w:rsidRDefault="00F110F9" w:rsidP="00F110F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DAQ recommends the legislation include a $100,000.00 limit on the management study</w:t>
      </w:r>
      <w:r w:rsidR="00303089">
        <w:rPr>
          <w:rFonts w:ascii="Arial" w:hAnsi="Arial" w:cs="Arial"/>
        </w:rPr>
        <w:t>.</w:t>
      </w:r>
    </w:p>
    <w:p w:rsidR="00303089" w:rsidRPr="00A673D5" w:rsidRDefault="005A2135" w:rsidP="0030308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A2135">
        <w:rPr>
          <w:rFonts w:ascii="Arial" w:hAnsi="Arial" w:cs="Arial"/>
        </w:rPr>
        <w:t xml:space="preserve">DAQ recommends adding </w:t>
      </w:r>
      <w:r w:rsidR="00A673D5">
        <w:rPr>
          <w:rFonts w:ascii="Arial" w:hAnsi="Arial" w:cs="Arial"/>
        </w:rPr>
        <w:t xml:space="preserve">legislation </w:t>
      </w:r>
      <w:r w:rsidRPr="005A2135">
        <w:rPr>
          <w:rFonts w:ascii="Arial" w:hAnsi="Arial" w:cs="Arial"/>
        </w:rPr>
        <w:t xml:space="preserve">language to </w:t>
      </w:r>
      <w:r>
        <w:rPr>
          <w:rFonts w:ascii="Arial" w:hAnsi="Arial" w:cs="Arial"/>
        </w:rPr>
        <w:t xml:space="preserve">reflect </w:t>
      </w:r>
      <w:r w:rsidRPr="005A2135">
        <w:rPr>
          <w:rFonts w:ascii="Arial" w:hAnsi="Arial" w:cs="Arial"/>
          <w:lang w:val="en"/>
        </w:rPr>
        <w:t>sourc</w:t>
      </w:r>
      <w:r>
        <w:rPr>
          <w:rFonts w:ascii="Arial" w:hAnsi="Arial" w:cs="Arial"/>
          <w:lang w:val="en"/>
        </w:rPr>
        <w:t xml:space="preserve">es delinquent for more than </w:t>
      </w:r>
      <w:r w:rsidR="003D5803">
        <w:rPr>
          <w:rFonts w:ascii="Arial" w:hAnsi="Arial" w:cs="Arial"/>
          <w:lang w:val="en"/>
        </w:rPr>
        <w:t>1</w:t>
      </w:r>
      <w:r>
        <w:rPr>
          <w:rFonts w:ascii="Arial" w:hAnsi="Arial" w:cs="Arial"/>
          <w:lang w:val="en"/>
        </w:rPr>
        <w:t>-</w:t>
      </w:r>
      <w:r w:rsidRPr="005A2135">
        <w:rPr>
          <w:rFonts w:ascii="Arial" w:hAnsi="Arial" w:cs="Arial"/>
          <w:lang w:val="en"/>
        </w:rPr>
        <w:t>year may be the sole justification for permit cancellation.</w:t>
      </w:r>
    </w:p>
    <w:p w:rsidR="00A673D5" w:rsidRPr="00A673D5" w:rsidRDefault="00A673D5" w:rsidP="00A673D5">
      <w:pPr>
        <w:pStyle w:val="ListParagraph"/>
        <w:rPr>
          <w:rFonts w:ascii="Arial" w:hAnsi="Arial" w:cs="Arial"/>
        </w:rPr>
      </w:pPr>
    </w:p>
    <w:p w:rsidR="004952FC" w:rsidRDefault="004952FC" w:rsidP="004952F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52FC">
        <w:rPr>
          <w:rFonts w:ascii="Arial" w:hAnsi="Arial" w:cs="Arial"/>
          <w:b/>
        </w:rPr>
        <w:t xml:space="preserve">Reg 2. Fee </w:t>
      </w:r>
      <w:r w:rsidR="002641B7">
        <w:rPr>
          <w:rFonts w:ascii="Arial" w:hAnsi="Arial" w:cs="Arial"/>
          <w:b/>
        </w:rPr>
        <w:t>Concept</w:t>
      </w:r>
      <w:r w:rsidRPr="004952FC">
        <w:rPr>
          <w:rFonts w:ascii="Arial" w:hAnsi="Arial" w:cs="Arial"/>
          <w:b/>
        </w:rPr>
        <w:t>:</w:t>
      </w:r>
      <w:r w:rsidRPr="004952FC">
        <w:rPr>
          <w:rFonts w:ascii="Arial" w:hAnsi="Arial" w:cs="Arial"/>
        </w:rPr>
        <w:t xml:space="preserve">  This </w:t>
      </w:r>
      <w:r w:rsidR="002641B7">
        <w:rPr>
          <w:rFonts w:ascii="Arial" w:hAnsi="Arial" w:cs="Arial"/>
        </w:rPr>
        <w:t>concept</w:t>
      </w:r>
      <w:r w:rsidR="002641B7" w:rsidRPr="004952FC">
        <w:rPr>
          <w:rFonts w:ascii="Arial" w:hAnsi="Arial" w:cs="Arial"/>
        </w:rPr>
        <w:t xml:space="preserve"> </w:t>
      </w:r>
      <w:r w:rsidRPr="004952FC">
        <w:rPr>
          <w:rFonts w:ascii="Arial" w:hAnsi="Arial" w:cs="Arial"/>
        </w:rPr>
        <w:t xml:space="preserve">was previously </w:t>
      </w:r>
      <w:r>
        <w:rPr>
          <w:rFonts w:ascii="Arial" w:hAnsi="Arial" w:cs="Arial"/>
        </w:rPr>
        <w:t>briefed.  Per the chamber</w:t>
      </w:r>
      <w:r w:rsidR="00A021D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request, the supporting data was consolidated and simplified for this presentation. </w:t>
      </w:r>
      <w:r w:rsidRPr="004952FC">
        <w:rPr>
          <w:rFonts w:ascii="Arial" w:hAnsi="Arial" w:cs="Arial"/>
        </w:rPr>
        <w:t xml:space="preserve">The </w:t>
      </w:r>
      <w:r w:rsidR="002641B7">
        <w:rPr>
          <w:rFonts w:ascii="Arial" w:hAnsi="Arial" w:cs="Arial"/>
        </w:rPr>
        <w:t>idea of</w:t>
      </w:r>
      <w:r w:rsidRPr="004952FC">
        <w:rPr>
          <w:rFonts w:ascii="Arial" w:hAnsi="Arial" w:cs="Arial"/>
        </w:rPr>
        <w:t xml:space="preserve"> incorporating Natural Minor Permitting fees into the TV fee legislation</w:t>
      </w:r>
      <w:r w:rsidR="002641B7">
        <w:rPr>
          <w:rFonts w:ascii="Arial" w:hAnsi="Arial" w:cs="Arial"/>
        </w:rPr>
        <w:t xml:space="preserve"> was discussed</w:t>
      </w:r>
      <w:r w:rsidRPr="004952FC">
        <w:rPr>
          <w:rFonts w:ascii="Arial" w:hAnsi="Arial" w:cs="Arial"/>
        </w:rPr>
        <w:t>.</w:t>
      </w:r>
    </w:p>
    <w:p w:rsidR="004C47FC" w:rsidRDefault="004C47FC" w:rsidP="004C47FC">
      <w:pPr>
        <w:pStyle w:val="ListParagraph"/>
        <w:ind w:left="360"/>
        <w:rPr>
          <w:rFonts w:ascii="Arial" w:hAnsi="Arial" w:cs="Arial"/>
        </w:rPr>
      </w:pPr>
    </w:p>
    <w:p w:rsidR="004952FC" w:rsidRPr="004C47FC" w:rsidRDefault="004C47FC" w:rsidP="004C47F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industry members </w:t>
      </w:r>
      <w:r w:rsidR="002641B7">
        <w:rPr>
          <w:rFonts w:ascii="Arial" w:hAnsi="Arial" w:cs="Arial"/>
        </w:rPr>
        <w:t>advised against</w:t>
      </w:r>
      <w:r w:rsidR="00495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incorporating other permitting fees into the TV legislation.</w:t>
      </w:r>
    </w:p>
    <w:p w:rsidR="004E577E" w:rsidRDefault="00303089" w:rsidP="004C47FC">
      <w:pPr>
        <w:rPr>
          <w:rFonts w:ascii="Arial" w:hAnsi="Arial" w:cs="Arial"/>
        </w:rPr>
      </w:pPr>
      <w:r w:rsidRPr="003A468B">
        <w:rPr>
          <w:rFonts w:ascii="Arial" w:hAnsi="Arial" w:cs="Arial"/>
          <w:b/>
        </w:rPr>
        <w:t>Agreements/Action Items:</w:t>
      </w:r>
      <w:r w:rsidRPr="00C04160">
        <w:rPr>
          <w:rFonts w:ascii="Arial" w:hAnsi="Arial" w:cs="Arial"/>
        </w:rPr>
        <w:t xml:space="preserve"> </w:t>
      </w:r>
      <w:r w:rsidR="004C47FC">
        <w:rPr>
          <w:rFonts w:ascii="Arial" w:hAnsi="Arial" w:cs="Arial"/>
        </w:rPr>
        <w:t>the entire committee agreed this was a productive meeting and we are very close to a complete agreement.  The</w:t>
      </w:r>
      <w:r w:rsidR="00F07F8E">
        <w:rPr>
          <w:rFonts w:ascii="Arial" w:hAnsi="Arial" w:cs="Arial"/>
        </w:rPr>
        <w:t>se subsequent</w:t>
      </w:r>
      <w:r w:rsidR="004C47FC">
        <w:rPr>
          <w:rFonts w:ascii="Arial" w:hAnsi="Arial" w:cs="Arial"/>
        </w:rPr>
        <w:t xml:space="preserve"> follow-up</w:t>
      </w:r>
      <w:r w:rsidR="00CC4698">
        <w:rPr>
          <w:rFonts w:ascii="Arial" w:hAnsi="Arial" w:cs="Arial"/>
        </w:rPr>
        <w:t xml:space="preserve"> actions</w:t>
      </w:r>
      <w:r w:rsidR="004C47FC">
        <w:rPr>
          <w:rFonts w:ascii="Arial" w:hAnsi="Arial" w:cs="Arial"/>
        </w:rPr>
        <w:t xml:space="preserve"> are </w:t>
      </w:r>
      <w:r w:rsidR="004C47FC" w:rsidRPr="00725214">
        <w:rPr>
          <w:rFonts w:ascii="Arial" w:hAnsi="Arial" w:cs="Arial"/>
        </w:rPr>
        <w:t>required:</w:t>
      </w:r>
    </w:p>
    <w:p w:rsidR="00337881" w:rsidRPr="00AD79A8" w:rsidRDefault="00337881" w:rsidP="00AD79A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D79A8">
        <w:rPr>
          <w:rFonts w:ascii="Arial" w:hAnsi="Arial" w:cs="Arial"/>
          <w:b/>
        </w:rPr>
        <w:t xml:space="preserve">Legislation Draft, § 6097: Fees, Paragraph (c):  </w:t>
      </w:r>
      <w:r w:rsidRPr="00AD79A8">
        <w:rPr>
          <w:rFonts w:ascii="Arial" w:hAnsi="Arial" w:cs="Arial"/>
        </w:rPr>
        <w:t xml:space="preserve">DAQ will recommend revised language for a </w:t>
      </w:r>
      <w:r w:rsidR="003D5803" w:rsidRPr="00AD79A8">
        <w:rPr>
          <w:rFonts w:ascii="Arial" w:hAnsi="Arial" w:cs="Arial"/>
        </w:rPr>
        <w:t>3</w:t>
      </w:r>
      <w:r w:rsidRPr="00AD79A8">
        <w:rPr>
          <w:rFonts w:ascii="Arial" w:hAnsi="Arial" w:cs="Arial"/>
        </w:rPr>
        <w:t xml:space="preserve">-year fee cycle with the option to renegotiate during year three if linked to measureable efficiencies gained through the initial phases of the management study. </w:t>
      </w:r>
      <w:r w:rsidRPr="00AD79A8">
        <w:rPr>
          <w:rFonts w:ascii="Arial" w:hAnsi="Arial" w:cs="Arial"/>
          <w:b/>
        </w:rPr>
        <w:t>D</w:t>
      </w:r>
      <w:r w:rsidR="00725214" w:rsidRPr="00AD79A8">
        <w:rPr>
          <w:rFonts w:ascii="Arial" w:hAnsi="Arial" w:cs="Arial"/>
          <w:b/>
        </w:rPr>
        <w:t xml:space="preserve">ate: </w:t>
      </w:r>
      <w:r w:rsidRPr="00AD79A8">
        <w:rPr>
          <w:rFonts w:ascii="Arial" w:hAnsi="Arial" w:cs="Arial"/>
          <w:b/>
        </w:rPr>
        <w:t>April 14, 2014.</w:t>
      </w:r>
    </w:p>
    <w:p w:rsidR="00725214" w:rsidRPr="00725214" w:rsidRDefault="00725214" w:rsidP="00725214">
      <w:pPr>
        <w:pStyle w:val="ListParagraph"/>
        <w:ind w:left="360"/>
        <w:rPr>
          <w:rFonts w:ascii="Arial" w:hAnsi="Arial" w:cs="Arial"/>
          <w:b/>
        </w:rPr>
      </w:pPr>
    </w:p>
    <w:p w:rsidR="00337881" w:rsidRPr="00AD79A8" w:rsidRDefault="004C47FC" w:rsidP="00AD79A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D79A8">
        <w:rPr>
          <w:rFonts w:ascii="Arial" w:hAnsi="Arial" w:cs="Arial"/>
          <w:b/>
        </w:rPr>
        <w:t>Legislation Draft,</w:t>
      </w:r>
      <w:r w:rsidR="005A2135" w:rsidRPr="00AD79A8">
        <w:rPr>
          <w:rFonts w:ascii="Arial" w:hAnsi="Arial" w:cs="Arial"/>
          <w:b/>
        </w:rPr>
        <w:t xml:space="preserve"> §</w:t>
      </w:r>
      <w:r w:rsidRPr="00AD79A8">
        <w:rPr>
          <w:rFonts w:ascii="Arial" w:hAnsi="Arial" w:cs="Arial"/>
          <w:b/>
        </w:rPr>
        <w:t xml:space="preserve"> 6097: Fees, Paragraph (g):</w:t>
      </w:r>
      <w:r w:rsidRPr="00AD79A8">
        <w:rPr>
          <w:rFonts w:ascii="Arial" w:hAnsi="Arial" w:cs="Arial"/>
        </w:rPr>
        <w:t xml:space="preserve"> DAQ will modify the language to reflect fix</w:t>
      </w:r>
      <w:r w:rsidR="00F07F8E" w:rsidRPr="00AD79A8">
        <w:rPr>
          <w:rFonts w:ascii="Arial" w:hAnsi="Arial" w:cs="Arial"/>
        </w:rPr>
        <w:t>ed</w:t>
      </w:r>
      <w:r w:rsidRPr="00AD79A8">
        <w:rPr>
          <w:rFonts w:ascii="Arial" w:hAnsi="Arial" w:cs="Arial"/>
        </w:rPr>
        <w:t xml:space="preserve"> fee percentages </w:t>
      </w:r>
      <w:r w:rsidR="00F55E8E" w:rsidRPr="00AD79A8">
        <w:rPr>
          <w:rFonts w:ascii="Arial" w:hAnsi="Arial" w:cs="Arial"/>
        </w:rPr>
        <w:t>(</w:t>
      </w:r>
      <w:r w:rsidR="00C702A1" w:rsidRPr="00AD79A8">
        <w:rPr>
          <w:rFonts w:ascii="Arial" w:hAnsi="Arial" w:cs="Arial"/>
        </w:rPr>
        <w:t>6-</w:t>
      </w:r>
      <w:r w:rsidR="00F55E8E" w:rsidRPr="00AD79A8">
        <w:rPr>
          <w:rFonts w:ascii="Arial" w:hAnsi="Arial" w:cs="Arial"/>
        </w:rPr>
        <w:t xml:space="preserve">years) </w:t>
      </w:r>
      <w:r w:rsidRPr="00AD79A8">
        <w:rPr>
          <w:rFonts w:ascii="Arial" w:hAnsi="Arial" w:cs="Arial"/>
        </w:rPr>
        <w:t>based on categories of assignment</w:t>
      </w:r>
      <w:r w:rsidR="005A2135" w:rsidRPr="00AD79A8">
        <w:rPr>
          <w:rFonts w:ascii="Arial" w:hAnsi="Arial" w:cs="Arial"/>
        </w:rPr>
        <w:t xml:space="preserve">.  </w:t>
      </w:r>
      <w:r w:rsidR="00CC4698" w:rsidRPr="00AD79A8">
        <w:rPr>
          <w:rFonts w:ascii="Arial" w:hAnsi="Arial" w:cs="Arial"/>
        </w:rPr>
        <w:t>Date:  April 14, 2014.</w:t>
      </w:r>
    </w:p>
    <w:p w:rsidR="00D642AF" w:rsidRPr="00725214" w:rsidRDefault="005A2135" w:rsidP="00AD79A8">
      <w:pPr>
        <w:pStyle w:val="CommentText"/>
        <w:numPr>
          <w:ilvl w:val="0"/>
          <w:numId w:val="19"/>
        </w:numPr>
        <w:rPr>
          <w:rFonts w:ascii="Arial" w:hAnsi="Arial" w:cs="Arial"/>
        </w:rPr>
      </w:pPr>
      <w:r w:rsidRPr="00725214">
        <w:rPr>
          <w:rFonts w:ascii="Arial" w:hAnsi="Arial" w:cs="Arial"/>
          <w:b/>
          <w:sz w:val="22"/>
          <w:szCs w:val="22"/>
        </w:rPr>
        <w:t xml:space="preserve">Legislation Draft, § 6097: Fees, Paragraph (i):  </w:t>
      </w:r>
      <w:r w:rsidRPr="00725214">
        <w:rPr>
          <w:rFonts w:ascii="Arial" w:hAnsi="Arial" w:cs="Arial"/>
          <w:sz w:val="22"/>
          <w:szCs w:val="22"/>
        </w:rPr>
        <w:t xml:space="preserve">DAQ will add language </w:t>
      </w:r>
      <w:r w:rsidR="00337881" w:rsidRPr="00725214">
        <w:rPr>
          <w:rFonts w:ascii="Arial" w:hAnsi="Arial" w:cs="Arial"/>
          <w:sz w:val="22"/>
          <w:szCs w:val="22"/>
          <w:lang w:val="en"/>
        </w:rPr>
        <w:t xml:space="preserve">pertaining to </w:t>
      </w:r>
      <w:r w:rsidR="00A673D5" w:rsidRPr="00725214">
        <w:rPr>
          <w:rFonts w:ascii="Arial" w:hAnsi="Arial" w:cs="Arial"/>
          <w:sz w:val="22"/>
          <w:szCs w:val="22"/>
          <w:lang w:val="en"/>
        </w:rPr>
        <w:t xml:space="preserve">delinquent </w:t>
      </w:r>
      <w:r w:rsidR="00337881" w:rsidRPr="00725214">
        <w:rPr>
          <w:rFonts w:ascii="Arial" w:hAnsi="Arial" w:cs="Arial"/>
          <w:sz w:val="22"/>
          <w:szCs w:val="22"/>
          <w:lang w:val="en"/>
        </w:rPr>
        <w:t xml:space="preserve">sources </w:t>
      </w:r>
      <w:r w:rsidR="00A673D5" w:rsidRPr="00725214">
        <w:rPr>
          <w:rFonts w:ascii="Arial" w:hAnsi="Arial" w:cs="Arial"/>
          <w:sz w:val="22"/>
          <w:szCs w:val="22"/>
          <w:lang w:val="en"/>
        </w:rPr>
        <w:t xml:space="preserve">for more than </w:t>
      </w:r>
      <w:r w:rsidR="00C702A1" w:rsidRPr="00725214">
        <w:rPr>
          <w:rFonts w:ascii="Arial" w:hAnsi="Arial" w:cs="Arial"/>
          <w:sz w:val="22"/>
          <w:szCs w:val="22"/>
          <w:lang w:val="en"/>
        </w:rPr>
        <w:t>1-</w:t>
      </w:r>
      <w:r w:rsidR="00A673D5" w:rsidRPr="00725214">
        <w:rPr>
          <w:rFonts w:ascii="Arial" w:hAnsi="Arial" w:cs="Arial"/>
          <w:sz w:val="22"/>
          <w:szCs w:val="22"/>
          <w:lang w:val="en"/>
        </w:rPr>
        <w:t>year</w:t>
      </w:r>
      <w:r w:rsidR="00337881" w:rsidRPr="00725214">
        <w:rPr>
          <w:rFonts w:ascii="Arial" w:hAnsi="Arial" w:cs="Arial"/>
          <w:sz w:val="22"/>
          <w:szCs w:val="22"/>
          <w:lang w:val="en"/>
        </w:rPr>
        <w:t xml:space="preserve">.  Language should </w:t>
      </w:r>
      <w:r w:rsidR="00E01EC6">
        <w:rPr>
          <w:rFonts w:ascii="Arial" w:hAnsi="Arial" w:cs="Arial"/>
          <w:sz w:val="22"/>
          <w:szCs w:val="22"/>
          <w:lang w:val="en"/>
        </w:rPr>
        <w:t xml:space="preserve">indicate </w:t>
      </w:r>
      <w:r w:rsidR="00337881" w:rsidRPr="00AD79A8">
        <w:rPr>
          <w:rFonts w:ascii="Arial" w:hAnsi="Arial" w:cs="Arial"/>
          <w:sz w:val="22"/>
          <w:szCs w:val="22"/>
        </w:rPr>
        <w:t>s</w:t>
      </w:r>
      <w:r w:rsidR="00337881" w:rsidRPr="00725214">
        <w:rPr>
          <w:rFonts w:ascii="Arial" w:hAnsi="Arial" w:cs="Arial"/>
          <w:sz w:val="22"/>
          <w:szCs w:val="22"/>
        </w:rPr>
        <w:t>ources delinquent for more than one year may be subject to permit cancellation/revocation solely on the basis of that delinquency</w:t>
      </w:r>
      <w:r w:rsidR="00337881" w:rsidRPr="00AD79A8">
        <w:rPr>
          <w:rFonts w:ascii="Arial" w:hAnsi="Arial" w:cs="Arial"/>
          <w:sz w:val="22"/>
          <w:szCs w:val="22"/>
        </w:rPr>
        <w:t xml:space="preserve">. </w:t>
      </w:r>
      <w:r w:rsidR="00CC4698" w:rsidRPr="00725214">
        <w:rPr>
          <w:rFonts w:ascii="Arial" w:hAnsi="Arial" w:cs="Arial"/>
          <w:b/>
        </w:rPr>
        <w:t>Date:  April 14, 2014.</w:t>
      </w:r>
    </w:p>
    <w:p w:rsidR="00D642AF" w:rsidRPr="00725214" w:rsidRDefault="00D642AF" w:rsidP="0072521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25214">
        <w:rPr>
          <w:rFonts w:ascii="Arial" w:hAnsi="Arial" w:cs="Arial"/>
          <w:b/>
        </w:rPr>
        <w:t xml:space="preserve">Legislation Draft, § 6097: Fees, Paragraph (l):  </w:t>
      </w:r>
      <w:r w:rsidRPr="00725214">
        <w:rPr>
          <w:rFonts w:ascii="Arial" w:hAnsi="Arial" w:cs="Arial"/>
        </w:rPr>
        <w:t>DAQ will modify the proposed management study language to reflect a more achievable timeline for execution and implementation of any validated process efficiencies.  Date</w:t>
      </w:r>
      <w:r w:rsidRPr="00725214">
        <w:rPr>
          <w:rFonts w:ascii="Arial" w:hAnsi="Arial" w:cs="Arial"/>
          <w:b/>
        </w:rPr>
        <w:t>:  April 14, 2014.</w:t>
      </w:r>
    </w:p>
    <w:p w:rsidR="00A673D5" w:rsidRPr="00725214" w:rsidRDefault="00A673D5" w:rsidP="00D642A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C4698" w:rsidRPr="00725214" w:rsidRDefault="00A673D5" w:rsidP="0072521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25214">
        <w:rPr>
          <w:rFonts w:ascii="Arial" w:hAnsi="Arial" w:cs="Arial"/>
        </w:rPr>
        <w:t xml:space="preserve">DAQ will review and validate the </w:t>
      </w:r>
      <w:r w:rsidR="00157600" w:rsidRPr="00725214">
        <w:rPr>
          <w:rFonts w:ascii="Arial" w:hAnsi="Arial" w:cs="Arial"/>
        </w:rPr>
        <w:t xml:space="preserve">Chamber’s </w:t>
      </w:r>
      <w:r w:rsidRPr="00725214">
        <w:rPr>
          <w:rFonts w:ascii="Arial" w:hAnsi="Arial" w:cs="Arial"/>
        </w:rPr>
        <w:t>preliminary data and proposed fees structure</w:t>
      </w:r>
      <w:r w:rsidR="00CC4698" w:rsidRPr="00725214">
        <w:rPr>
          <w:rFonts w:ascii="Arial" w:hAnsi="Arial" w:cs="Arial"/>
        </w:rPr>
        <w:t xml:space="preserve"> spreadsheets. </w:t>
      </w:r>
      <w:r w:rsidR="00CC4698" w:rsidRPr="00725214">
        <w:rPr>
          <w:rFonts w:ascii="Arial" w:hAnsi="Arial" w:cs="Arial"/>
          <w:b/>
        </w:rPr>
        <w:t>Date:  April 14, 2014.</w:t>
      </w:r>
    </w:p>
    <w:p w:rsidR="00CC4698" w:rsidRPr="00725214" w:rsidRDefault="00CC4698" w:rsidP="00CC4698">
      <w:pPr>
        <w:pStyle w:val="ListParagraph"/>
        <w:rPr>
          <w:rFonts w:ascii="Arial" w:hAnsi="Arial" w:cs="Arial"/>
        </w:rPr>
      </w:pPr>
    </w:p>
    <w:p w:rsidR="00CC4698" w:rsidRPr="00725214" w:rsidRDefault="00CC4698" w:rsidP="0072521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25214">
        <w:rPr>
          <w:rFonts w:ascii="Arial" w:hAnsi="Arial" w:cs="Arial"/>
        </w:rPr>
        <w:t xml:space="preserve">The Chamber will continue to research and provide a recommended list of Management Consultants for the proposed management review. </w:t>
      </w:r>
      <w:r w:rsidRPr="00725214">
        <w:rPr>
          <w:rFonts w:ascii="Arial" w:hAnsi="Arial" w:cs="Arial"/>
          <w:b/>
        </w:rPr>
        <w:t>Date:  As soon as possible</w:t>
      </w:r>
      <w:r w:rsidR="003D5803" w:rsidRPr="00725214">
        <w:rPr>
          <w:rFonts w:ascii="Arial" w:hAnsi="Arial" w:cs="Arial"/>
          <w:b/>
        </w:rPr>
        <w:t>.</w:t>
      </w:r>
    </w:p>
    <w:p w:rsidR="00393E76" w:rsidRPr="00725214" w:rsidRDefault="00393E76" w:rsidP="00CC4698">
      <w:pPr>
        <w:spacing w:after="0" w:line="240" w:lineRule="auto"/>
        <w:rPr>
          <w:rFonts w:ascii="Arial" w:hAnsi="Arial" w:cs="Arial"/>
        </w:rPr>
      </w:pPr>
    </w:p>
    <w:p w:rsidR="008516F5" w:rsidRPr="00725214" w:rsidRDefault="00CC4698" w:rsidP="00CC4698">
      <w:pPr>
        <w:rPr>
          <w:rFonts w:ascii="Arial" w:hAnsi="Arial" w:cs="Arial"/>
        </w:rPr>
      </w:pPr>
      <w:r w:rsidRPr="00725214">
        <w:rPr>
          <w:rFonts w:ascii="Arial" w:hAnsi="Arial" w:cs="Arial"/>
        </w:rPr>
        <w:t xml:space="preserve">The meeting concluded at 3:30PM.  </w:t>
      </w:r>
      <w:r w:rsidR="00071D5B">
        <w:rPr>
          <w:rFonts w:ascii="Arial" w:hAnsi="Arial" w:cs="Arial"/>
        </w:rPr>
        <w:t xml:space="preserve">It was agreed that </w:t>
      </w:r>
      <w:r w:rsidRPr="00725214">
        <w:rPr>
          <w:rFonts w:ascii="Arial" w:hAnsi="Arial" w:cs="Arial"/>
        </w:rPr>
        <w:t>final review and approval</w:t>
      </w:r>
      <w:r w:rsidR="00071D5B">
        <w:rPr>
          <w:rFonts w:ascii="Arial" w:hAnsi="Arial" w:cs="Arial"/>
        </w:rPr>
        <w:t xml:space="preserve"> will be managed through email</w:t>
      </w:r>
      <w:r w:rsidRPr="00725214">
        <w:rPr>
          <w:rFonts w:ascii="Arial" w:hAnsi="Arial" w:cs="Arial"/>
        </w:rPr>
        <w:t xml:space="preserve">. </w:t>
      </w:r>
    </w:p>
    <w:sectPr w:rsidR="008516F5" w:rsidRPr="0072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66" w:rsidRDefault="006D3766" w:rsidP="00CC5258">
      <w:pPr>
        <w:spacing w:after="0" w:line="240" w:lineRule="auto"/>
      </w:pPr>
      <w:r>
        <w:separator/>
      </w:r>
    </w:p>
  </w:endnote>
  <w:endnote w:type="continuationSeparator" w:id="0">
    <w:p w:rsidR="006D3766" w:rsidRDefault="006D3766" w:rsidP="00CC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66" w:rsidRDefault="006D3766" w:rsidP="00CC5258">
      <w:pPr>
        <w:spacing w:after="0" w:line="240" w:lineRule="auto"/>
      </w:pPr>
      <w:r>
        <w:separator/>
      </w:r>
    </w:p>
  </w:footnote>
  <w:footnote w:type="continuationSeparator" w:id="0">
    <w:p w:rsidR="006D3766" w:rsidRDefault="006D3766" w:rsidP="00CC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A92"/>
    <w:multiLevelType w:val="hybridMultilevel"/>
    <w:tmpl w:val="E230F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3453F"/>
    <w:multiLevelType w:val="hybridMultilevel"/>
    <w:tmpl w:val="6E5A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54755"/>
    <w:multiLevelType w:val="hybridMultilevel"/>
    <w:tmpl w:val="B41E9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C1301"/>
    <w:multiLevelType w:val="hybridMultilevel"/>
    <w:tmpl w:val="D5026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6585A"/>
    <w:multiLevelType w:val="hybridMultilevel"/>
    <w:tmpl w:val="6EB2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30D8"/>
    <w:multiLevelType w:val="hybridMultilevel"/>
    <w:tmpl w:val="306E4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D11C0"/>
    <w:multiLevelType w:val="hybridMultilevel"/>
    <w:tmpl w:val="6024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E30B4"/>
    <w:multiLevelType w:val="hybridMultilevel"/>
    <w:tmpl w:val="D6506BCC"/>
    <w:lvl w:ilvl="0" w:tplc="0D74806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1060E6"/>
    <w:multiLevelType w:val="hybridMultilevel"/>
    <w:tmpl w:val="3A924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D6D88"/>
    <w:multiLevelType w:val="hybridMultilevel"/>
    <w:tmpl w:val="A2A87E4E"/>
    <w:lvl w:ilvl="0" w:tplc="E5C66EB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BB6BCF"/>
    <w:multiLevelType w:val="hybridMultilevel"/>
    <w:tmpl w:val="5366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7E56"/>
    <w:multiLevelType w:val="hybridMultilevel"/>
    <w:tmpl w:val="F15E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666B3"/>
    <w:multiLevelType w:val="hybridMultilevel"/>
    <w:tmpl w:val="EBC47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9004A1"/>
    <w:multiLevelType w:val="hybridMultilevel"/>
    <w:tmpl w:val="2EE4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728A6"/>
    <w:multiLevelType w:val="hybridMultilevel"/>
    <w:tmpl w:val="6476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07FB0"/>
    <w:multiLevelType w:val="hybridMultilevel"/>
    <w:tmpl w:val="C48A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B3E08"/>
    <w:multiLevelType w:val="hybridMultilevel"/>
    <w:tmpl w:val="F1B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1325C"/>
    <w:multiLevelType w:val="hybridMultilevel"/>
    <w:tmpl w:val="6522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D0411"/>
    <w:multiLevelType w:val="hybridMultilevel"/>
    <w:tmpl w:val="498ABD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C67CAE"/>
    <w:multiLevelType w:val="hybridMultilevel"/>
    <w:tmpl w:val="1CE6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7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18"/>
  </w:num>
  <w:num w:numId="10">
    <w:abstractNumId w:val="7"/>
  </w:num>
  <w:num w:numId="11">
    <w:abstractNumId w:val="16"/>
  </w:num>
  <w:num w:numId="12">
    <w:abstractNumId w:val="0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BE"/>
    <w:rsid w:val="00001987"/>
    <w:rsid w:val="00046363"/>
    <w:rsid w:val="000477D8"/>
    <w:rsid w:val="00071D5B"/>
    <w:rsid w:val="00087FBC"/>
    <w:rsid w:val="00115FB9"/>
    <w:rsid w:val="00125F97"/>
    <w:rsid w:val="0013017D"/>
    <w:rsid w:val="00157600"/>
    <w:rsid w:val="001901F5"/>
    <w:rsid w:val="00191EAE"/>
    <w:rsid w:val="0019654F"/>
    <w:rsid w:val="001C0CBD"/>
    <w:rsid w:val="002140F7"/>
    <w:rsid w:val="0024668E"/>
    <w:rsid w:val="00250E7C"/>
    <w:rsid w:val="002641B7"/>
    <w:rsid w:val="00272321"/>
    <w:rsid w:val="002C03A6"/>
    <w:rsid w:val="00303089"/>
    <w:rsid w:val="00337881"/>
    <w:rsid w:val="00352978"/>
    <w:rsid w:val="003569AA"/>
    <w:rsid w:val="0037343A"/>
    <w:rsid w:val="00377700"/>
    <w:rsid w:val="00393E76"/>
    <w:rsid w:val="00395E82"/>
    <w:rsid w:val="0039647C"/>
    <w:rsid w:val="003A2BE0"/>
    <w:rsid w:val="003A468B"/>
    <w:rsid w:val="003D01AD"/>
    <w:rsid w:val="003D5803"/>
    <w:rsid w:val="003E5C9F"/>
    <w:rsid w:val="003F34B3"/>
    <w:rsid w:val="00431891"/>
    <w:rsid w:val="00471623"/>
    <w:rsid w:val="004952FC"/>
    <w:rsid w:val="004B027F"/>
    <w:rsid w:val="004B069F"/>
    <w:rsid w:val="004C0F31"/>
    <w:rsid w:val="004C47FC"/>
    <w:rsid w:val="004C5A79"/>
    <w:rsid w:val="004E577E"/>
    <w:rsid w:val="00517D20"/>
    <w:rsid w:val="005639F5"/>
    <w:rsid w:val="0057689E"/>
    <w:rsid w:val="005871ED"/>
    <w:rsid w:val="005946F7"/>
    <w:rsid w:val="005A2135"/>
    <w:rsid w:val="005A43C7"/>
    <w:rsid w:val="005B0E9A"/>
    <w:rsid w:val="005B28F5"/>
    <w:rsid w:val="005D65D3"/>
    <w:rsid w:val="005E158E"/>
    <w:rsid w:val="006047CC"/>
    <w:rsid w:val="006567D6"/>
    <w:rsid w:val="00665A86"/>
    <w:rsid w:val="006B0F9C"/>
    <w:rsid w:val="006D3766"/>
    <w:rsid w:val="00725214"/>
    <w:rsid w:val="00741EF7"/>
    <w:rsid w:val="007906F4"/>
    <w:rsid w:val="007A7C83"/>
    <w:rsid w:val="007D315A"/>
    <w:rsid w:val="007E3CF9"/>
    <w:rsid w:val="00817693"/>
    <w:rsid w:val="00825FCC"/>
    <w:rsid w:val="00827F79"/>
    <w:rsid w:val="008516F5"/>
    <w:rsid w:val="0085771A"/>
    <w:rsid w:val="00895D8C"/>
    <w:rsid w:val="008E36AC"/>
    <w:rsid w:val="00911CC6"/>
    <w:rsid w:val="009132EF"/>
    <w:rsid w:val="00923F74"/>
    <w:rsid w:val="009674E9"/>
    <w:rsid w:val="009A7372"/>
    <w:rsid w:val="009F30ED"/>
    <w:rsid w:val="00A021D4"/>
    <w:rsid w:val="00A34261"/>
    <w:rsid w:val="00A523EC"/>
    <w:rsid w:val="00A524BE"/>
    <w:rsid w:val="00A673D5"/>
    <w:rsid w:val="00A74E5A"/>
    <w:rsid w:val="00A80079"/>
    <w:rsid w:val="00A86C5A"/>
    <w:rsid w:val="00AD2039"/>
    <w:rsid w:val="00AD79A8"/>
    <w:rsid w:val="00AF4129"/>
    <w:rsid w:val="00B01447"/>
    <w:rsid w:val="00B363D5"/>
    <w:rsid w:val="00BA6E14"/>
    <w:rsid w:val="00C04160"/>
    <w:rsid w:val="00C20FDD"/>
    <w:rsid w:val="00C702A1"/>
    <w:rsid w:val="00C710A9"/>
    <w:rsid w:val="00C81F3E"/>
    <w:rsid w:val="00C93FE2"/>
    <w:rsid w:val="00CB46B0"/>
    <w:rsid w:val="00CC4698"/>
    <w:rsid w:val="00CC5258"/>
    <w:rsid w:val="00CE39D9"/>
    <w:rsid w:val="00D122F4"/>
    <w:rsid w:val="00D30DB9"/>
    <w:rsid w:val="00D642AF"/>
    <w:rsid w:val="00D66D6F"/>
    <w:rsid w:val="00D67DF0"/>
    <w:rsid w:val="00D92BA4"/>
    <w:rsid w:val="00D93876"/>
    <w:rsid w:val="00DB6380"/>
    <w:rsid w:val="00E01DD2"/>
    <w:rsid w:val="00E01EC6"/>
    <w:rsid w:val="00E12496"/>
    <w:rsid w:val="00E14DD7"/>
    <w:rsid w:val="00E1599F"/>
    <w:rsid w:val="00E20833"/>
    <w:rsid w:val="00E26686"/>
    <w:rsid w:val="00E41F70"/>
    <w:rsid w:val="00E522F0"/>
    <w:rsid w:val="00EB0FD7"/>
    <w:rsid w:val="00F07F8E"/>
    <w:rsid w:val="00F110F9"/>
    <w:rsid w:val="00F55E8E"/>
    <w:rsid w:val="00FA56E8"/>
    <w:rsid w:val="00FD17E8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58"/>
  </w:style>
  <w:style w:type="paragraph" w:styleId="Footer">
    <w:name w:val="footer"/>
    <w:basedOn w:val="Normal"/>
    <w:link w:val="Foot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58"/>
  </w:style>
  <w:style w:type="character" w:styleId="Hyperlink">
    <w:name w:val="Hyperlink"/>
    <w:basedOn w:val="DefaultParagraphFont"/>
    <w:uiPriority w:val="99"/>
    <w:unhideWhenUsed/>
    <w:rsid w:val="00377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7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58"/>
  </w:style>
  <w:style w:type="paragraph" w:styleId="Footer">
    <w:name w:val="footer"/>
    <w:basedOn w:val="Normal"/>
    <w:link w:val="Foot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58"/>
  </w:style>
  <w:style w:type="character" w:styleId="Hyperlink">
    <w:name w:val="Hyperlink"/>
    <w:basedOn w:val="DefaultParagraphFont"/>
    <w:uiPriority w:val="99"/>
    <w:unhideWhenUsed/>
    <w:rsid w:val="00377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7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AE1A6B-A201-4C49-B2FF-2CFB632C42A5}"/>
</file>

<file path=customXml/itemProps2.xml><?xml version="1.0" encoding="utf-8"?>
<ds:datastoreItem xmlns:ds="http://schemas.openxmlformats.org/officeDocument/2006/customXml" ds:itemID="{87A7660C-4AC6-4776-9C87-DD1A0859F174}"/>
</file>

<file path=customXml/itemProps3.xml><?xml version="1.0" encoding="utf-8"?>
<ds:datastoreItem xmlns:ds="http://schemas.openxmlformats.org/officeDocument/2006/customXml" ds:itemID="{1C9344A1-FAB8-4D37-B9BB-5AB8BED56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Manson, Anthony O.C. (DNREC)</dc:creator>
  <cp:lastModifiedBy>Manson, Anthony O.C. (DNREC)</cp:lastModifiedBy>
  <cp:revision>2</cp:revision>
  <dcterms:created xsi:type="dcterms:W3CDTF">2014-04-07T11:49:00Z</dcterms:created>
  <dcterms:modified xsi:type="dcterms:W3CDTF">2014-04-07T11:49:00Z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0x0101009B4B46BBFBAE224089837358835B0A76</vt:lpwstr>
  </property>
</Properties>
</file>